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2B7" w:rsidRDefault="005152B7" w:rsidP="005152B7">
      <w:pPr>
        <w:jc w:val="center"/>
        <w:rPr>
          <w:b/>
          <w:noProof/>
          <w:sz w:val="48"/>
          <w:szCs w:val="48"/>
          <w:lang w:eastAsia="it-IT"/>
        </w:rPr>
      </w:pPr>
      <w:r w:rsidRPr="005152B7">
        <w:rPr>
          <w:b/>
          <w:noProof/>
          <w:sz w:val="48"/>
          <w:szCs w:val="48"/>
          <w:lang w:eastAsia="it-IT"/>
        </w:rPr>
        <w:drawing>
          <wp:inline distT="0" distB="0" distL="0" distR="0" wp14:anchorId="63243DFD" wp14:editId="006AFBF7">
            <wp:extent cx="2381250" cy="1171575"/>
            <wp:effectExtent l="0" t="0" r="0" b="9525"/>
            <wp:docPr id="1" name="Immagine 1" descr="Z:\LOGO COUB VCO\LOGO COUB V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LOGO COUB VCO\LOGO COUB VC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171575"/>
                    </a:xfrm>
                    <a:prstGeom prst="rect">
                      <a:avLst/>
                    </a:prstGeom>
                    <a:noFill/>
                    <a:ln>
                      <a:noFill/>
                    </a:ln>
                  </pic:spPr>
                </pic:pic>
              </a:graphicData>
            </a:graphic>
          </wp:inline>
        </w:drawing>
      </w:r>
    </w:p>
    <w:p w:rsidR="005152B7" w:rsidRDefault="0033532E" w:rsidP="005152B7">
      <w:pPr>
        <w:jc w:val="center"/>
        <w:rPr>
          <w:b/>
          <w:noProof/>
          <w:sz w:val="48"/>
          <w:szCs w:val="48"/>
          <w:lang w:eastAsia="it-IT"/>
        </w:rPr>
      </w:pPr>
      <w:r>
        <w:rPr>
          <w:b/>
          <w:noProof/>
          <w:sz w:val="48"/>
          <w:szCs w:val="48"/>
          <w:lang w:eastAsia="it-IT"/>
        </w:rPr>
        <w:t>CONSORZIO OBBLIGATORIO UNICO DI BACINO</w:t>
      </w:r>
    </w:p>
    <w:p w:rsidR="0033532E" w:rsidRDefault="0033532E" w:rsidP="002C19F2">
      <w:pPr>
        <w:jc w:val="center"/>
        <w:rPr>
          <w:b/>
          <w:noProof/>
          <w:sz w:val="48"/>
          <w:szCs w:val="48"/>
          <w:lang w:eastAsia="it-IT"/>
        </w:rPr>
      </w:pPr>
      <w:r>
        <w:rPr>
          <w:b/>
          <w:noProof/>
          <w:sz w:val="48"/>
          <w:szCs w:val="48"/>
          <w:lang w:eastAsia="it-IT"/>
        </w:rPr>
        <w:t>DEL VERBANO CUSIO OSSOLA</w:t>
      </w:r>
    </w:p>
    <w:p w:rsidR="005131D9" w:rsidRPr="0033532E" w:rsidRDefault="0033532E" w:rsidP="0033532E">
      <w:pPr>
        <w:jc w:val="center"/>
        <w:rPr>
          <w:b/>
          <w:noProof/>
          <w:sz w:val="48"/>
          <w:szCs w:val="48"/>
          <w:lang w:eastAsia="it-IT"/>
        </w:rPr>
      </w:pPr>
      <w:r>
        <w:rPr>
          <w:b/>
          <w:noProof/>
          <w:sz w:val="48"/>
          <w:szCs w:val="48"/>
          <w:lang w:eastAsia="it-IT"/>
        </w:rPr>
        <w:t>NOTA DI AGGIORNAMENTO AL</w:t>
      </w:r>
    </w:p>
    <w:p w:rsidR="00750B82" w:rsidRPr="00640949" w:rsidRDefault="00750B82" w:rsidP="00750B82">
      <w:pPr>
        <w:jc w:val="center"/>
        <w:rPr>
          <w:rFonts w:cs="AngsanaUPC"/>
          <w:b/>
          <w:sz w:val="48"/>
          <w:szCs w:val="48"/>
        </w:rPr>
      </w:pPr>
      <w:r w:rsidRPr="00640949">
        <w:rPr>
          <w:rFonts w:cs="AngsanaUPC"/>
          <w:b/>
          <w:sz w:val="48"/>
          <w:szCs w:val="48"/>
        </w:rPr>
        <w:t>D</w:t>
      </w:r>
      <w:r w:rsidR="0055202D">
        <w:rPr>
          <w:rFonts w:cs="AngsanaUPC"/>
          <w:b/>
          <w:sz w:val="48"/>
          <w:szCs w:val="48"/>
        </w:rPr>
        <w:t>.</w:t>
      </w:r>
      <w:r w:rsidRPr="00640949">
        <w:rPr>
          <w:rFonts w:cs="AngsanaUPC"/>
          <w:b/>
          <w:sz w:val="48"/>
          <w:szCs w:val="48"/>
        </w:rPr>
        <w:t>U</w:t>
      </w:r>
      <w:r w:rsidR="0055202D">
        <w:rPr>
          <w:rFonts w:cs="AngsanaUPC"/>
          <w:b/>
          <w:sz w:val="48"/>
          <w:szCs w:val="48"/>
        </w:rPr>
        <w:t>.</w:t>
      </w:r>
      <w:r w:rsidRPr="00640949">
        <w:rPr>
          <w:rFonts w:cs="AngsanaUPC"/>
          <w:b/>
          <w:sz w:val="48"/>
          <w:szCs w:val="48"/>
        </w:rPr>
        <w:t>P</w:t>
      </w:r>
      <w:r w:rsidR="0055202D">
        <w:rPr>
          <w:rFonts w:cs="AngsanaUPC"/>
          <w:b/>
          <w:sz w:val="48"/>
          <w:szCs w:val="48"/>
        </w:rPr>
        <w:t>.</w:t>
      </w:r>
    </w:p>
    <w:p w:rsidR="00750B82" w:rsidRPr="00640949" w:rsidRDefault="00750B82" w:rsidP="00750B82">
      <w:pPr>
        <w:jc w:val="center"/>
        <w:rPr>
          <w:rFonts w:cs="AngsanaUPC"/>
          <w:b/>
          <w:sz w:val="48"/>
          <w:szCs w:val="48"/>
        </w:rPr>
      </w:pPr>
      <w:r w:rsidRPr="00640949">
        <w:rPr>
          <w:rFonts w:cs="AngsanaUPC"/>
          <w:b/>
          <w:sz w:val="48"/>
          <w:szCs w:val="48"/>
        </w:rPr>
        <w:t>DOCUMENTO UNICO DI PROGRAMMAZIONE</w:t>
      </w:r>
    </w:p>
    <w:p w:rsidR="00750B82" w:rsidRPr="00640949" w:rsidRDefault="0024616E" w:rsidP="00750B82">
      <w:pPr>
        <w:jc w:val="center"/>
        <w:rPr>
          <w:rFonts w:cs="AngsanaUPC"/>
          <w:b/>
          <w:sz w:val="48"/>
          <w:szCs w:val="48"/>
        </w:rPr>
      </w:pPr>
      <w:r>
        <w:rPr>
          <w:rFonts w:cs="AngsanaUPC"/>
          <w:b/>
          <w:sz w:val="48"/>
          <w:szCs w:val="48"/>
        </w:rPr>
        <w:fldChar w:fldCharType="begin"/>
      </w:r>
      <w:r>
        <w:rPr>
          <w:rFonts w:cs="AngsanaUPC"/>
          <w:b/>
          <w:sz w:val="48"/>
          <w:szCs w:val="48"/>
        </w:rPr>
        <w:instrText xml:space="preserve"> MERGEFIELD  anno+1  \* MERGEFORMAT </w:instrText>
      </w:r>
      <w:r>
        <w:rPr>
          <w:rFonts w:cs="AngsanaUPC"/>
          <w:b/>
          <w:sz w:val="48"/>
          <w:szCs w:val="48"/>
        </w:rPr>
        <w:fldChar w:fldCharType="separate"/>
      </w:r>
      <w:r>
        <w:rPr>
          <w:rFonts w:cs="AngsanaUPC"/>
          <w:b/>
          <w:noProof/>
          <w:sz w:val="48"/>
          <w:szCs w:val="48"/>
        </w:rPr>
        <w:t>2018</w:t>
      </w:r>
      <w:r>
        <w:rPr>
          <w:rFonts w:cs="AngsanaUPC"/>
          <w:b/>
          <w:sz w:val="48"/>
          <w:szCs w:val="48"/>
        </w:rPr>
        <w:fldChar w:fldCharType="end"/>
      </w:r>
      <w:r w:rsidR="00750B82" w:rsidRPr="00640949">
        <w:rPr>
          <w:rFonts w:cs="AngsanaUPC"/>
          <w:b/>
          <w:sz w:val="48"/>
          <w:szCs w:val="48"/>
        </w:rPr>
        <w:t>/</w:t>
      </w:r>
      <w:r>
        <w:rPr>
          <w:rFonts w:cs="AngsanaUPC"/>
          <w:b/>
          <w:sz w:val="48"/>
          <w:szCs w:val="48"/>
        </w:rPr>
        <w:t>2020</w:t>
      </w:r>
      <w:r>
        <w:rPr>
          <w:rFonts w:cs="AngsanaUPC"/>
          <w:b/>
          <w:sz w:val="48"/>
          <w:szCs w:val="48"/>
        </w:rPr>
        <w:fldChar w:fldCharType="begin"/>
      </w:r>
      <w:r>
        <w:rPr>
          <w:rFonts w:cs="AngsanaUPC"/>
          <w:b/>
          <w:sz w:val="48"/>
          <w:szCs w:val="48"/>
        </w:rPr>
        <w:instrText xml:space="preserve"> MERGEFIELD  anno+3  \* MERGEFORMAT </w:instrText>
      </w:r>
      <w:r>
        <w:rPr>
          <w:rFonts w:cs="AngsanaUPC"/>
          <w:b/>
          <w:sz w:val="48"/>
          <w:szCs w:val="48"/>
        </w:rPr>
        <w:fldChar w:fldCharType="end"/>
      </w:r>
    </w:p>
    <w:p w:rsidR="00750B82" w:rsidRDefault="00750B82">
      <w:pPr>
        <w:sectPr w:rsidR="00750B82" w:rsidSect="000239FD">
          <w:headerReference w:type="default" r:id="rId9"/>
          <w:footerReference w:type="default" r:id="rId10"/>
          <w:pgSz w:w="11906" w:h="16838" w:code="9"/>
          <w:pgMar w:top="1418" w:right="1134" w:bottom="1134" w:left="1134" w:header="709" w:footer="709" w:gutter="0"/>
          <w:cols w:space="708"/>
          <w:vAlign w:val="center"/>
          <w:titlePg/>
          <w:docGrid w:linePitch="360"/>
        </w:sectPr>
      </w:pPr>
    </w:p>
    <w:p w:rsidR="00210F34" w:rsidRDefault="00210F34" w:rsidP="0058641B">
      <w:pPr>
        <w:pStyle w:val="Titolo1"/>
      </w:pPr>
      <w:bookmarkStart w:id="0" w:name="_Toc496177124"/>
      <w:r>
        <w:lastRenderedPageBreak/>
        <w:t>INTRODUZIONE</w:t>
      </w:r>
      <w:bookmarkEnd w:id="0"/>
    </w:p>
    <w:p w:rsidR="00FC3F02" w:rsidRPr="00FC3F02" w:rsidRDefault="00FC3F02" w:rsidP="00FC3F02"/>
    <w:p w:rsidR="00FC3F02" w:rsidRDefault="00FC3F02" w:rsidP="00210F34">
      <w:pPr>
        <w:sectPr w:rsidR="00FC3F02" w:rsidSect="004C6805">
          <w:headerReference w:type="default" r:id="rId11"/>
          <w:pgSz w:w="11906" w:h="16838" w:code="9"/>
          <w:pgMar w:top="1418" w:right="1134" w:bottom="1134" w:left="1134" w:header="709" w:footer="709" w:gutter="0"/>
          <w:pgNumType w:start="1"/>
          <w:cols w:space="708"/>
          <w:vAlign w:val="center"/>
          <w:docGrid w:linePitch="360"/>
        </w:sectPr>
      </w:pPr>
    </w:p>
    <w:p w:rsidR="00FC3F02" w:rsidRDefault="00FC3F02" w:rsidP="00FC3F02">
      <w:pPr>
        <w:pStyle w:val="Titolo2"/>
      </w:pPr>
      <w:bookmarkStart w:id="1" w:name="_Toc496177125"/>
      <w:r>
        <w:lastRenderedPageBreak/>
        <w:t>La programmazione nel nuovo contesto normativo</w:t>
      </w:r>
      <w:bookmarkEnd w:id="1"/>
      <w:r w:rsidRPr="00C941EF">
        <w:t xml:space="preserve"> </w:t>
      </w:r>
    </w:p>
    <w:p w:rsidR="00FC3F02" w:rsidRDefault="00FC3F02" w:rsidP="00FC3F02"/>
    <w:p w:rsidR="000062AC" w:rsidRPr="007A216D" w:rsidRDefault="000062AC" w:rsidP="000062AC">
      <w:pPr>
        <w:spacing w:line="360" w:lineRule="auto"/>
        <w:rPr>
          <w:color w:val="262626" w:themeColor="text1" w:themeTint="D9"/>
        </w:rPr>
      </w:pPr>
      <w:r w:rsidRPr="007A216D">
        <w:rPr>
          <w:color w:val="262626" w:themeColor="text1" w:themeTint="D9"/>
        </w:rPr>
        <w:t>Il decreto legislativo n. 118 del 2011 prevede che le amministrazioni pubbliche territoriali debbano conformare la propria gestione a regole contabili uniformi, definite sotto forma di principi contabili generali e di principi contabili applicati: questi ultimi rappresentano l’interpretazione delle norme contabili e dei principi generali, completano il sistema generale e favoriscono l’adozione di comportamenti uniformi e corretti.</w:t>
      </w:r>
    </w:p>
    <w:p w:rsidR="000062AC" w:rsidRPr="007A216D" w:rsidRDefault="000062AC" w:rsidP="000062AC">
      <w:pPr>
        <w:spacing w:line="360" w:lineRule="auto"/>
        <w:rPr>
          <w:color w:val="262626" w:themeColor="text1" w:themeTint="D9"/>
        </w:rPr>
      </w:pPr>
      <w:r w:rsidRPr="007A216D">
        <w:rPr>
          <w:color w:val="262626" w:themeColor="text1" w:themeTint="D9"/>
        </w:rPr>
        <w:t>In particolare il principio contabile applicato concernente la programmazione di bilancio afferma che “</w:t>
      </w:r>
      <w:r w:rsidRPr="007A216D">
        <w:rPr>
          <w:i/>
          <w:color w:val="262626" w:themeColor="text1" w:themeTint="D9"/>
        </w:rPr>
        <w:t>La programmazione è il processo di analisi e valutazione che, comparando e ordinando coerentemente tra loro le politiche e i piani per il governo del territorio, consente di organizzare, in una dimensione temporale predefinita, le attività e le risorse necessarie per la realizzazione di fini sociali e la promozione dello sviluppo economico e civile delle comunità di riferimento</w:t>
      </w:r>
      <w:r w:rsidRPr="007A216D">
        <w:rPr>
          <w:color w:val="262626" w:themeColor="text1" w:themeTint="D9"/>
        </w:rPr>
        <w:t>”.</w:t>
      </w:r>
    </w:p>
    <w:p w:rsidR="000062AC" w:rsidRPr="007A216D" w:rsidRDefault="000062AC" w:rsidP="000062AC">
      <w:pPr>
        <w:spacing w:line="360" w:lineRule="auto"/>
        <w:rPr>
          <w:rFonts w:ascii="Calibri" w:hAnsi="Calibri"/>
        </w:rPr>
      </w:pPr>
      <w:r w:rsidRPr="007A216D">
        <w:rPr>
          <w:rFonts w:ascii="Calibri" w:hAnsi="Calibri"/>
        </w:rPr>
        <w:t>Il Decreto Legislativo n.118/2011 prevede che le amministrazioni pubbliche territoriali debbano conformare la propria gestione a regole contabili uniformi, definite sotto forma di principi contabili generali e di principi contabili applicati: questi ultimi rappresentano l’interpretazione delle norme contabili e dei principi generali, completano il sistema generale e favoriscono l’adozione di comportamento uniformi e corretti.</w:t>
      </w:r>
    </w:p>
    <w:p w:rsidR="000062AC" w:rsidRPr="007A216D" w:rsidRDefault="000062AC" w:rsidP="000062AC">
      <w:pPr>
        <w:spacing w:line="360" w:lineRule="auto"/>
        <w:rPr>
          <w:rFonts w:ascii="Calibri" w:hAnsi="Calibri"/>
        </w:rPr>
      </w:pPr>
      <w:r w:rsidRPr="007A216D">
        <w:rPr>
          <w:rFonts w:ascii="Calibri" w:hAnsi="Calibri"/>
        </w:rPr>
        <w:t>In particolare il principio contabile applicato concernente la programmazione di bilancio afferma che “La programmazione è il processo di analisi e valutazione che, comparando e ordinando coerentemente tra loro le politiche e i piani per il governo del territorio, consente di organizzare, in una dimensione temporale predefinita, le attività e le risorse necessarie per la realizzazione di fini sociali e la promozione dello sviluppo economico e civile delle comunità di riferimento”.</w:t>
      </w:r>
    </w:p>
    <w:p w:rsidR="000062AC" w:rsidRPr="007A216D" w:rsidRDefault="000062AC" w:rsidP="000062AC">
      <w:pPr>
        <w:autoSpaceDE w:val="0"/>
        <w:autoSpaceDN w:val="0"/>
        <w:adjustRightInd w:val="0"/>
        <w:spacing w:after="0" w:line="360" w:lineRule="auto"/>
        <w:rPr>
          <w:rFonts w:ascii="Calibri" w:eastAsia="Times New Roman" w:hAnsi="Calibri" w:cs="Times New Roman"/>
          <w:color w:val="000000"/>
          <w:lang w:eastAsia="it-IT"/>
        </w:rPr>
      </w:pPr>
      <w:r w:rsidRPr="007A216D">
        <w:rPr>
          <w:rFonts w:ascii="Calibri" w:eastAsia="Times New Roman" w:hAnsi="Calibri" w:cs="Times New Roman"/>
          <w:color w:val="000000"/>
          <w:lang w:eastAsia="it-IT"/>
        </w:rPr>
        <w:t xml:space="preserve">La programmazione nelle pubbliche amministrazioni garantisce l’attuazione del principio costituzionale del buon andamento (art. 97) in quanto è diretta ad assicurare un ottimale impiego delle risorse secondo i canoni di efficacia, efficienza ed economicità. Essa inoltre rende concreto il principio della democrazia partecipativa, in quanto fornisce gli strumenti per “valutare” l’operato dell’azione amministrativa conoscendo preventivamente gli obiettivi dichiarati e, successivamente, i risultati raggiunti. In sostanza, dunque, un corretto processo di programmazione è espressione di una amministrazione moderna che intende fronteggiare in modo permanente, sistemico e unitario le discontinuità ambientali e organizzative ed anche finanziarie. Già l’Osservatorio per la finanza e la contabilità degli enti locali scriveva come la programmazione rappresenti </w:t>
      </w:r>
      <w:r w:rsidRPr="007A216D">
        <w:rPr>
          <w:rFonts w:ascii="Calibri" w:eastAsia="Times New Roman" w:hAnsi="Calibri" w:cs="Times New Roman"/>
          <w:b/>
          <w:bCs/>
          <w:iCs/>
          <w:color w:val="000000"/>
          <w:lang w:eastAsia="it-IT"/>
        </w:rPr>
        <w:t>“il «contratto» che il governo politico dell’ente assume nei confronti dei cittadini e degli altri utilizzatori del sistema di bilancio stesso</w:t>
      </w:r>
      <w:r w:rsidRPr="007A216D">
        <w:rPr>
          <w:rFonts w:ascii="Calibri" w:eastAsia="Times New Roman" w:hAnsi="Calibri" w:cs="Times New Roman"/>
          <w:iCs/>
          <w:color w:val="000000"/>
          <w:lang w:eastAsia="it-IT"/>
        </w:rPr>
        <w:t xml:space="preserve">. L’attendibilità, la congruità e la coerenza dei bilanci è prova della affidabilità e credibilità dell’Amministrazione. Gli utilizzatori del sistema di bilancio </w:t>
      </w:r>
      <w:r w:rsidRPr="007A216D">
        <w:rPr>
          <w:rFonts w:ascii="Calibri" w:eastAsia="Times New Roman" w:hAnsi="Calibri" w:cs="Times New Roman"/>
          <w:iCs/>
          <w:color w:val="000000"/>
          <w:lang w:eastAsia="it-IT"/>
        </w:rPr>
        <w:lastRenderedPageBreak/>
        <w:t>devono disporre delle informazioni necessarie per valutare gli impegni politici assunti e le decisioni conseguenti, il loro onere e, in sede di rendiconto, il grado di mantenimento degli stessi”.</w:t>
      </w:r>
    </w:p>
    <w:p w:rsidR="000062AC" w:rsidRPr="007A216D" w:rsidRDefault="000062AC" w:rsidP="000062AC">
      <w:pPr>
        <w:spacing w:line="360" w:lineRule="auto"/>
        <w:rPr>
          <w:rFonts w:ascii="Calibri" w:hAnsi="Calibri"/>
        </w:rPr>
      </w:pPr>
      <w:r w:rsidRPr="007A216D">
        <w:rPr>
          <w:rFonts w:ascii="Calibri" w:hAnsi="Calibri"/>
        </w:rPr>
        <w:t>Già da questa prima formulazione si evince come per adempiere al principio normativo non sarà più sufficiente la predisposizione di documenti di respiro tecnico-contabile, tesi a definire le risorse finanziarie per classificazione di bilancio, seguendo trend consolidato nel tempo, ma sostanzialmente privi di una visione progettuale di sviluppo sociale ed economico del territorio: scopi, contenuti, risorse destinate e risultati dell’azione di governo dovranno sempre più caratterizzare i documenti contabili per offrire una lettura dell’azione amministrativa che sia comprensibile e valutabile dal principale destinatario di qualunque iniziativa dell’Ente pubblico, ovvero il cittadino.</w:t>
      </w:r>
    </w:p>
    <w:p w:rsidR="000062AC" w:rsidRPr="007A216D" w:rsidRDefault="000062AC" w:rsidP="000062AC">
      <w:pPr>
        <w:spacing w:line="360" w:lineRule="auto"/>
        <w:rPr>
          <w:rFonts w:ascii="Calibri" w:hAnsi="Calibri"/>
        </w:rPr>
      </w:pPr>
      <w:r w:rsidRPr="007A216D">
        <w:rPr>
          <w:rFonts w:ascii="Calibri" w:hAnsi="Calibri"/>
        </w:rPr>
        <w:t>In conseguenza di quanto affermato, la ripartizione delle risorse finanziarie secondo la classificazione ministeriale, ovvero il bilancio di previsione, non contiene tutte le informazioni necessarie, sono sempre i principi contabili a stabilire che la pianificazione, per essere “qualificata”, dovrà contenere la lettura non solo contabile dei documenti nei quali le decisioni politiche e gestionali trovano concreta attuazione ed essere orientata nella sua redazione alla lettura da parte dei portatori di interesse.</w:t>
      </w:r>
    </w:p>
    <w:p w:rsidR="000062AC" w:rsidRPr="007A216D" w:rsidRDefault="000062AC" w:rsidP="000062AC">
      <w:pPr>
        <w:spacing w:line="360" w:lineRule="auto"/>
        <w:rPr>
          <w:rFonts w:ascii="Calibri" w:hAnsi="Calibri"/>
        </w:rPr>
      </w:pPr>
      <w:r w:rsidRPr="007A216D">
        <w:rPr>
          <w:rFonts w:ascii="Calibri" w:hAnsi="Calibri"/>
        </w:rPr>
        <w:t>Rivestiranno un ruolo sempre più centrale nelle programmazioni e rendicontazioni future, non soltanto le grandezze finanziarie previste ed effettivamente utilizzate, ma una molteplicità di informazioni, contabili e non, relative agli effetti dell’azione dell’Ente.</w:t>
      </w:r>
    </w:p>
    <w:p w:rsidR="000062AC" w:rsidRPr="007A216D" w:rsidRDefault="000062AC" w:rsidP="000062AC">
      <w:pPr>
        <w:spacing w:line="360" w:lineRule="auto"/>
        <w:rPr>
          <w:rFonts w:ascii="Calibri" w:hAnsi="Calibri"/>
        </w:rPr>
      </w:pPr>
      <w:r w:rsidRPr="007A216D">
        <w:rPr>
          <w:rFonts w:ascii="Calibri" w:hAnsi="Calibri"/>
        </w:rPr>
        <w:t>Coerenza ed interdipendenza dei diversi documenti di pianificazione rappresentano una ulteriore caratteristica specificatamente prevista dai principi a cui si ispira il D.Lgs.n.118/2011.</w:t>
      </w:r>
    </w:p>
    <w:p w:rsidR="000062AC" w:rsidRPr="007A216D" w:rsidRDefault="000062AC" w:rsidP="000062AC">
      <w:pPr>
        <w:spacing w:line="360" w:lineRule="auto"/>
        <w:rPr>
          <w:rFonts w:ascii="Calibri" w:hAnsi="Calibri"/>
        </w:rPr>
      </w:pPr>
      <w:r w:rsidRPr="007A216D">
        <w:rPr>
          <w:rFonts w:ascii="Calibri" w:hAnsi="Calibri"/>
        </w:rPr>
        <w:t>Saranno quindi esplicitati con sempre maggiore chiarezza gli elementi precedentemente menzionati e cioè gli obiettivi di breve e lungo periodo della gestione e le risorse finanziarie, umane e strumentali necessarie per il loro conseguimento.</w:t>
      </w:r>
    </w:p>
    <w:p w:rsidR="000062AC" w:rsidRPr="007A216D" w:rsidRDefault="000062AC" w:rsidP="000062AC">
      <w:pPr>
        <w:spacing w:line="360" w:lineRule="auto"/>
        <w:rPr>
          <w:rFonts w:ascii="Calibri" w:hAnsi="Calibri"/>
        </w:rPr>
      </w:pPr>
      <w:r w:rsidRPr="007A216D">
        <w:rPr>
          <w:rFonts w:ascii="Calibri" w:hAnsi="Calibri"/>
        </w:rPr>
        <w:t>Il percorso di adempimento normativo rappresenta un solo aspetto, quasi il pretesto per una evoluzione che prima di tutto dovrà essere culturale, metodologica ed organizzativa: il presente Documento Unico di Programmazione rappresenta dunque l’avvio di un processo che richiederà tempi adeguati e step successivi di perfezionamento, che risentiranno delle evidenze emerse in sede di gestione e matureranno in un contesto politico, sociale ed economico difficile ed in continua evoluzione.</w:t>
      </w:r>
    </w:p>
    <w:p w:rsidR="000062AC" w:rsidRPr="007A216D" w:rsidRDefault="000062AC" w:rsidP="000062AC">
      <w:pPr>
        <w:spacing w:line="360" w:lineRule="auto"/>
        <w:rPr>
          <w:rFonts w:ascii="Calibri" w:hAnsi="Calibri"/>
        </w:rPr>
      </w:pPr>
    </w:p>
    <w:p w:rsidR="000062AC" w:rsidRPr="007A216D" w:rsidRDefault="000062AC" w:rsidP="000062AC"/>
    <w:p w:rsidR="000062AC" w:rsidRPr="007A216D" w:rsidRDefault="000062AC" w:rsidP="000062AC"/>
    <w:p w:rsidR="000062AC" w:rsidRPr="007A216D" w:rsidRDefault="000062AC" w:rsidP="000062AC">
      <w:pPr>
        <w:spacing w:line="360" w:lineRule="auto"/>
        <w:rPr>
          <w:color w:val="262626" w:themeColor="text1" w:themeTint="D9"/>
        </w:rPr>
      </w:pPr>
    </w:p>
    <w:p w:rsidR="000062AC" w:rsidRDefault="000062AC" w:rsidP="00FC3F02"/>
    <w:p w:rsidR="00FC3F02" w:rsidRDefault="00FC3F02" w:rsidP="00FC3F02">
      <w:pPr>
        <w:pStyle w:val="Titolo2"/>
      </w:pPr>
      <w:bookmarkStart w:id="2" w:name="_Toc496177126"/>
      <w:r w:rsidRPr="00297D50">
        <w:t>Il Documento Unico di Programmazione</w:t>
      </w:r>
      <w:bookmarkEnd w:id="2"/>
    </w:p>
    <w:p w:rsidR="00FC3F02" w:rsidRDefault="00FC3F02" w:rsidP="00FC3F02"/>
    <w:p w:rsidR="000062AC" w:rsidRDefault="000062AC" w:rsidP="00FC3F02"/>
    <w:p w:rsidR="000062AC" w:rsidRPr="000062AC" w:rsidRDefault="000062AC" w:rsidP="000062AC">
      <w:pPr>
        <w:spacing w:line="360" w:lineRule="auto"/>
        <w:rPr>
          <w:rFonts w:ascii="Calibri" w:hAnsi="Calibri"/>
        </w:rPr>
      </w:pPr>
      <w:r w:rsidRPr="000062AC">
        <w:rPr>
          <w:rFonts w:ascii="Calibri" w:hAnsi="Calibri"/>
        </w:rPr>
        <w:t>Nello scenario normativo precedentemente descritto, il D.U.P, la cui disciplina è contenuta nel principio contabile allegato 4.1. alD.Lgs.n.118/11 oltreché nell’art. 170 del D.Lgs.n.267/2000, costituisce lo strumento di guida strategica ed operativa degli enti locali e rappresenta il presupposto necessario di tutti gli altri documenti di programmazione.</w:t>
      </w:r>
    </w:p>
    <w:p w:rsidR="000062AC" w:rsidRPr="000062AC" w:rsidRDefault="000062AC" w:rsidP="000062AC">
      <w:pPr>
        <w:spacing w:line="360" w:lineRule="auto"/>
        <w:rPr>
          <w:rFonts w:ascii="Calibri" w:hAnsi="Calibri"/>
        </w:rPr>
      </w:pPr>
      <w:r w:rsidRPr="000062AC">
        <w:rPr>
          <w:rFonts w:ascii="Calibri" w:hAnsi="Calibri"/>
        </w:rPr>
        <w:t xml:space="preserve">In base a quanto previsto nel suddetto principio contabile, gli Enti sottoposti a tale normativa sono tenuti a predisporre, in luogo della vecchia Relazione Previsionale e Programmatica, il Documento Unico di Programmazione (D.U.P); </w:t>
      </w:r>
      <w:r w:rsidRPr="000062AC">
        <w:rPr>
          <w:rFonts w:ascii="Calibri" w:hAnsi="Calibri"/>
          <w:u w:val="single"/>
        </w:rPr>
        <w:t>tale disposizione trova applicazione anche per i Consorzi di Comuni ai quali si applicano per la gestione economica/finanziaria le norme della parte 2° “Ordinamento finanziario e contabile” del  Testo Unico Enti Locali D.Lgs.n.267/2000 (art. 2 comma 2 del TUEL).</w:t>
      </w:r>
    </w:p>
    <w:p w:rsidR="000062AC" w:rsidRPr="000062AC" w:rsidRDefault="000062AC" w:rsidP="000062AC">
      <w:pPr>
        <w:autoSpaceDE w:val="0"/>
        <w:autoSpaceDN w:val="0"/>
        <w:adjustRightInd w:val="0"/>
        <w:spacing w:after="0" w:line="360" w:lineRule="auto"/>
        <w:rPr>
          <w:rFonts w:ascii="Calibri" w:eastAsia="Times New Roman" w:hAnsi="Calibri" w:cs="Times New Roman"/>
          <w:color w:val="000000"/>
          <w:lang w:eastAsia="it-IT"/>
        </w:rPr>
      </w:pPr>
      <w:r w:rsidRPr="000062AC">
        <w:rPr>
          <w:rFonts w:ascii="Calibri" w:eastAsia="Times New Roman" w:hAnsi="Calibri" w:cs="Times New Roman"/>
          <w:color w:val="000000"/>
          <w:lang w:eastAsia="it-IT"/>
        </w:rPr>
        <w:t xml:space="preserve">Il DUP, presentato al Consiglio Comunale e nel caso dei Consorzi all’Assemblea Consortile  entro il 31 luglio dell’esercizio precedente al periodo di riferimento, permette l’attività di guida strategica ed operativa dell’ente e conseguentemente costituisce il presupposto necessario di tutti gli altri documenti di programmazione. </w:t>
      </w:r>
    </w:p>
    <w:p w:rsidR="000062AC" w:rsidRPr="000062AC" w:rsidRDefault="000062AC" w:rsidP="000062AC">
      <w:pPr>
        <w:spacing w:line="360" w:lineRule="auto"/>
        <w:rPr>
          <w:rFonts w:ascii="Calibri" w:hAnsi="Calibri"/>
        </w:rPr>
      </w:pPr>
      <w:r w:rsidRPr="000062AC">
        <w:rPr>
          <w:rFonts w:ascii="Calibri" w:hAnsi="Calibri"/>
        </w:rPr>
        <w:t>Il D.U.P. si compone di due sezioni: la Sezione Strategica (SeS) e la Sezione Operativa (SeO). La prima ha un orizzonte temporale di riferimento pari a quello del mandato amministrativo; la seconda pari a quello del bilancio di previsione.</w:t>
      </w:r>
    </w:p>
    <w:p w:rsidR="000062AC" w:rsidRPr="000062AC" w:rsidRDefault="000062AC" w:rsidP="000062AC">
      <w:pPr>
        <w:spacing w:line="360" w:lineRule="auto"/>
        <w:rPr>
          <w:color w:val="262626" w:themeColor="text1" w:themeTint="D9"/>
        </w:rPr>
      </w:pPr>
      <w:r w:rsidRPr="000062AC">
        <w:rPr>
          <w:color w:val="262626" w:themeColor="text1" w:themeTint="D9"/>
        </w:rPr>
        <w:t xml:space="preserve">La Sezione Strategica (SeS) sviluppa e concretizza le linee programmatiche di mandato di cui all’art. 46 comma 3 del decreto legislativo 18 agosto 2000, n. 267 e individua, in coerenza con il quadro normativo di riferimento, gli indirizzi strategici dell’Ente: </w:t>
      </w:r>
      <w:r w:rsidRPr="000062AC">
        <w:t>n</w:t>
      </w:r>
      <w:r w:rsidRPr="000062AC">
        <w:rPr>
          <w:rFonts w:eastAsia="Calibri" w:cs="Times New Roman"/>
        </w:rPr>
        <w:t>ella SeS sono anche indicati gli strumenti attraverso i quali l'ente locale intende rendicontare il proprio operato nel corso del mandato in maniera sistematica e trasparente, per informare i cittadini del livello di realizzazione dei programmi, di raggiungimento degli obiettivi e delle collegate aree di responsabilità politica o amministrativa</w:t>
      </w:r>
      <w:r w:rsidRPr="000062AC">
        <w:t>.</w:t>
      </w:r>
    </w:p>
    <w:p w:rsidR="000062AC" w:rsidRPr="000062AC" w:rsidRDefault="000062AC" w:rsidP="000062AC">
      <w:pPr>
        <w:spacing w:line="360" w:lineRule="auto"/>
        <w:rPr>
          <w:color w:val="262626" w:themeColor="text1" w:themeTint="D9"/>
        </w:rPr>
      </w:pPr>
      <w:r w:rsidRPr="000062AC">
        <w:rPr>
          <w:color w:val="262626" w:themeColor="text1" w:themeTint="D9"/>
        </w:rPr>
        <w:t>La Sezione Operativa (SeO) costituisce lo strumento a supporto del processo di previsione definito sulla base degli indirizzi generali e degli obiettivi strategici fissati nella SeS: in particolare contiene la programmazione operativa dell’ente avendo a riferimento un arco temporale sia annuale, sia pluriennale.</w:t>
      </w:r>
    </w:p>
    <w:p w:rsidR="000062AC" w:rsidRPr="000062AC" w:rsidRDefault="000062AC" w:rsidP="000062AC">
      <w:pPr>
        <w:spacing w:line="360" w:lineRule="auto"/>
      </w:pPr>
      <w:r w:rsidRPr="000062AC">
        <w:rPr>
          <w:rFonts w:eastAsia="Calibri" w:cs="Times New Roman"/>
        </w:rPr>
        <w:t>La SeO individua, per ogni singola missione, i programmi che l’ente intende realizzare per conseguire gli obiettivi</w:t>
      </w:r>
      <w:r w:rsidRPr="000062AC">
        <w:t xml:space="preserve"> strategici definiti nella SeS: p</w:t>
      </w:r>
      <w:r w:rsidRPr="000062AC">
        <w:rPr>
          <w:rFonts w:eastAsia="Calibri" w:cs="Times New Roman"/>
        </w:rPr>
        <w:t>er ogni programma, e per tutto il periodo di riferimento del DUP, sono individuati gli obiettivi operativi annuali da raggiungere</w:t>
      </w:r>
      <w:r w:rsidRPr="000062AC">
        <w:t>.</w:t>
      </w:r>
    </w:p>
    <w:p w:rsidR="000062AC" w:rsidRPr="000062AC" w:rsidRDefault="000062AC" w:rsidP="000062AC">
      <w:pPr>
        <w:spacing w:line="360" w:lineRule="auto"/>
        <w:rPr>
          <w:rFonts w:ascii="Calibri" w:hAnsi="Calibri"/>
        </w:rPr>
      </w:pPr>
      <w:r w:rsidRPr="000062AC">
        <w:rPr>
          <w:rFonts w:ascii="Calibri" w:hAnsi="Calibri"/>
        </w:rPr>
        <w:lastRenderedPageBreak/>
        <w:t xml:space="preserve">Per i Comuni con popolazione fino a 5.000 abitanti, il punto 8.4 del Principio contabile inerente la programmazione di Bilancio, come introdotto dal D.M. 20.5.2015, dà la possibilità di adozione di un D.U.P. semplificato, della durata di tre anni; </w:t>
      </w:r>
      <w:r w:rsidRPr="000062AC">
        <w:rPr>
          <w:rFonts w:ascii="Calibri" w:hAnsi="Calibri"/>
          <w:u w:val="single"/>
        </w:rPr>
        <w:t>tale norma trova applicazione per questo Ente stante la struttura amministrativa e gestionale di limitate dimensioni paragonabili a quella di un Comune con una popolazione non superiore a 5000 abitanti</w:t>
      </w:r>
      <w:r w:rsidRPr="000062AC">
        <w:rPr>
          <w:rFonts w:ascii="Calibri" w:hAnsi="Calibri"/>
        </w:rPr>
        <w:t>.</w:t>
      </w:r>
    </w:p>
    <w:p w:rsidR="000062AC" w:rsidRPr="000062AC" w:rsidRDefault="000062AC" w:rsidP="000062AC">
      <w:pPr>
        <w:spacing w:line="360" w:lineRule="auto"/>
        <w:rPr>
          <w:rFonts w:ascii="Calibri" w:hAnsi="Calibri"/>
        </w:rPr>
      </w:pPr>
      <w:r w:rsidRPr="000062AC">
        <w:rPr>
          <w:rFonts w:ascii="Calibri" w:hAnsi="Calibri"/>
        </w:rPr>
        <w:t>Si ritiene opportuno effettuare alcune premesse ai principi contabili che stanno alla base dei nuovi bilanci secondo quanto previsto dal D.Lgs. 118/2011 al fine di introdurre e fare comprendere l’impostazione del Documento Unico di Programmazione e dei suoi contenuti essenziali.</w:t>
      </w:r>
    </w:p>
    <w:p w:rsidR="000062AC" w:rsidRPr="000062AC" w:rsidRDefault="000062AC" w:rsidP="000062AC">
      <w:pPr>
        <w:spacing w:line="360" w:lineRule="auto"/>
        <w:rPr>
          <w:rFonts w:ascii="Calibri" w:hAnsi="Calibri"/>
        </w:rPr>
      </w:pPr>
      <w:r w:rsidRPr="000062AC">
        <w:rPr>
          <w:rFonts w:ascii="Calibri" w:hAnsi="Calibri"/>
        </w:rPr>
        <w:t>La spesa è articolata in missioni, programmi e titoli, sostituendo la precedente struttura per titoli, funzioni, servizi e interventi. L’elencazione di missioni e programmi non è a discrezione dell’Ente, bensì è tassativamente definita dalla normativa, diversamente dai programmi contenuti nel bilancio ex DPR 194/1996, che potevano essere scelti dall’Ente, in funzione delle priorità delineate nelle linee programmatiche.</w:t>
      </w:r>
    </w:p>
    <w:p w:rsidR="000062AC" w:rsidRPr="000062AC" w:rsidRDefault="000062AC" w:rsidP="000062AC">
      <w:pPr>
        <w:spacing w:line="360" w:lineRule="auto"/>
        <w:rPr>
          <w:rFonts w:ascii="Calibri" w:hAnsi="Calibri"/>
        </w:rPr>
      </w:pPr>
      <w:r w:rsidRPr="000062AC">
        <w:rPr>
          <w:rFonts w:ascii="Calibri" w:hAnsi="Calibri"/>
        </w:rPr>
        <w:t>Quanto alle entrate, la tradizionale classificazione per titoli, categorie e risorse è stata sostituita nel bilancio armonizzato  dall’elencazione di titoli e tipologie.</w:t>
      </w:r>
    </w:p>
    <w:p w:rsidR="000062AC" w:rsidRPr="000062AC" w:rsidRDefault="000062AC" w:rsidP="000062AC">
      <w:pPr>
        <w:spacing w:line="240" w:lineRule="auto"/>
        <w:rPr>
          <w:rFonts w:ascii="Calibri" w:hAnsi="Calibri"/>
        </w:rPr>
      </w:pPr>
      <w:r w:rsidRPr="000062AC">
        <w:rPr>
          <w:rFonts w:ascii="Calibri" w:hAnsi="Calibri"/>
        </w:rPr>
        <w:t>Nel principio contabile inerente la Programmazione di Bilancio, sono elencati i documenti che vanno allegati al Bilancio armonizzato, sotto forma di riepiloghi, quadri riassuntivi, allegati e sono i seguenti:</w:t>
      </w:r>
    </w:p>
    <w:p w:rsidR="000062AC" w:rsidRPr="000062AC" w:rsidRDefault="000062AC" w:rsidP="000062AC">
      <w:pPr>
        <w:spacing w:line="240" w:lineRule="auto"/>
        <w:rPr>
          <w:rFonts w:ascii="Calibri" w:hAnsi="Calibri"/>
        </w:rPr>
      </w:pPr>
      <w:r w:rsidRPr="000062AC">
        <w:rPr>
          <w:rFonts w:ascii="Calibri" w:hAnsi="Calibri"/>
        </w:rPr>
        <w:t>-prospetto esplicativo del risultato presunto di amministrazione;</w:t>
      </w:r>
    </w:p>
    <w:p w:rsidR="000062AC" w:rsidRPr="000062AC" w:rsidRDefault="000062AC" w:rsidP="000062AC">
      <w:pPr>
        <w:spacing w:line="240" w:lineRule="auto"/>
        <w:rPr>
          <w:rFonts w:ascii="Calibri" w:hAnsi="Calibri"/>
        </w:rPr>
      </w:pPr>
      <w:r w:rsidRPr="000062AC">
        <w:rPr>
          <w:rFonts w:ascii="Calibri" w:hAnsi="Calibri"/>
        </w:rPr>
        <w:t>-prospetto concernente la composizione per missioni e programmi del Fondo Pluriennale vincolato;</w:t>
      </w:r>
    </w:p>
    <w:p w:rsidR="000062AC" w:rsidRPr="000062AC" w:rsidRDefault="000062AC" w:rsidP="000062AC">
      <w:pPr>
        <w:spacing w:line="240" w:lineRule="auto"/>
        <w:rPr>
          <w:rFonts w:ascii="Calibri" w:hAnsi="Calibri"/>
        </w:rPr>
      </w:pPr>
      <w:r w:rsidRPr="000062AC">
        <w:rPr>
          <w:rFonts w:ascii="Calibri" w:hAnsi="Calibri"/>
        </w:rPr>
        <w:t>-prospetto concernente la composizione del fondo  crediti di dubbia esigibilità;</w:t>
      </w:r>
    </w:p>
    <w:p w:rsidR="000062AC" w:rsidRPr="000062AC" w:rsidRDefault="000062AC" w:rsidP="000062AC">
      <w:pPr>
        <w:spacing w:line="240" w:lineRule="auto"/>
        <w:rPr>
          <w:rFonts w:ascii="Calibri" w:hAnsi="Calibri"/>
        </w:rPr>
      </w:pPr>
      <w:r w:rsidRPr="000062AC">
        <w:rPr>
          <w:rFonts w:ascii="Calibri" w:hAnsi="Calibri"/>
        </w:rPr>
        <w:t>-riepilogo delle entrate per titoli e  tipologie;</w:t>
      </w:r>
    </w:p>
    <w:p w:rsidR="000062AC" w:rsidRPr="000062AC" w:rsidRDefault="000062AC" w:rsidP="000062AC">
      <w:pPr>
        <w:spacing w:line="240" w:lineRule="auto"/>
        <w:rPr>
          <w:rFonts w:ascii="Calibri" w:hAnsi="Calibri"/>
        </w:rPr>
      </w:pPr>
      <w:r w:rsidRPr="000062AC">
        <w:rPr>
          <w:rFonts w:ascii="Calibri" w:hAnsi="Calibri"/>
        </w:rPr>
        <w:t>-riepilogo delle spese  per titoli,</w:t>
      </w:r>
    </w:p>
    <w:p w:rsidR="000062AC" w:rsidRPr="000062AC" w:rsidRDefault="000062AC" w:rsidP="000062AC">
      <w:pPr>
        <w:spacing w:line="240" w:lineRule="auto"/>
        <w:rPr>
          <w:rFonts w:ascii="Calibri" w:hAnsi="Calibri"/>
        </w:rPr>
      </w:pPr>
      <w:r w:rsidRPr="000062AC">
        <w:rPr>
          <w:rFonts w:ascii="Calibri" w:hAnsi="Calibri"/>
        </w:rPr>
        <w:t xml:space="preserve">-bilancio entrate per titolo e tipologia e spese per missioni, programmi e titoli; </w:t>
      </w:r>
    </w:p>
    <w:p w:rsidR="000062AC" w:rsidRPr="000062AC" w:rsidRDefault="000062AC" w:rsidP="000062AC">
      <w:pPr>
        <w:spacing w:line="360" w:lineRule="auto"/>
        <w:rPr>
          <w:rFonts w:ascii="Calibri" w:hAnsi="Calibri"/>
        </w:rPr>
      </w:pPr>
      <w:r w:rsidRPr="000062AC">
        <w:rPr>
          <w:rFonts w:ascii="Calibri" w:hAnsi="Calibri"/>
        </w:rPr>
        <w:t>Si precisa,  che i livelli di ulteriore dettaglio rientrano nella sfera di competenza del Consiglio di Amministrazione (quanto ai macroaggregati) o dei dirigenti (quanto alle articolazione di entrate e spese al livello IV del piano dei conti finanziario) e, pertanto, ai sensi degli articoli 13 e 15 del decreto legislativo 23/6/2011 n. 118 “Disposizioni in materia di armonizzazione dei sistemi contabili e degli schemi di bilancio delle Regioni, degli enti locali e dei loro organismi, a norma degli articoli 1 e 2 della legge 5 maggio 2009, n. 42”, l’unità di voto elementare da parte del Assemblea Consortile è  rappresentata dalla tipologia in entrata e dal programma in spesa.</w:t>
      </w:r>
    </w:p>
    <w:p w:rsidR="000062AC" w:rsidRPr="000062AC" w:rsidRDefault="000062AC" w:rsidP="000062AC">
      <w:pPr>
        <w:spacing w:line="360" w:lineRule="auto"/>
        <w:rPr>
          <w:rFonts w:ascii="Calibri" w:hAnsi="Calibri"/>
        </w:rPr>
      </w:pPr>
      <w:r w:rsidRPr="000062AC">
        <w:rPr>
          <w:rFonts w:ascii="Calibri" w:hAnsi="Calibri"/>
        </w:rPr>
        <w:t xml:space="preserve">Altre novità da sottolineare per quanto attiene il Bilancio armonizzato è la presenza di due nuove importanti voci  : il Fondo Pluriennale Vincolato che troviamo esposto in due punti del bilancio: il Fondo </w:t>
      </w:r>
      <w:r w:rsidRPr="000062AC">
        <w:rPr>
          <w:rFonts w:ascii="Calibri" w:hAnsi="Calibri"/>
        </w:rPr>
        <w:lastRenderedPageBreak/>
        <w:t>Pluriennale Vincolato presente  nelle entrate relativamente alla quota di parte corrente e a quella di parte capitale che rappresenta le quote di somme provenienti dal bilancio dell’esercizio precedente, con esigibilità nel 2017  a cui corrispondono gli importi nella parte spesa rilevati nelle voci “di cui già impegnato”; e il Fondo Pluriennale Vincolato presente e indicato nelle voci di spesa che rappre</w:t>
      </w:r>
      <w:r w:rsidR="00962AC5">
        <w:rPr>
          <w:rFonts w:ascii="Calibri" w:hAnsi="Calibri"/>
        </w:rPr>
        <w:t>senta la parte di spesa del 2018-2019-2020</w:t>
      </w:r>
      <w:r w:rsidRPr="000062AC">
        <w:rPr>
          <w:rFonts w:ascii="Calibri" w:hAnsi="Calibri"/>
        </w:rPr>
        <w:t xml:space="preserve"> e avrà esigibilità negli anni successivi. L’altra novità del bilancio armonizzato è la voce, in spesa, del  Fondo Crediti di Dubbia Esigibilità.</w:t>
      </w:r>
    </w:p>
    <w:p w:rsidR="000062AC" w:rsidRPr="000062AC" w:rsidRDefault="000062AC" w:rsidP="000062AC">
      <w:pPr>
        <w:spacing w:line="360" w:lineRule="auto"/>
        <w:rPr>
          <w:rFonts w:ascii="Calibri" w:hAnsi="Calibri"/>
        </w:rPr>
      </w:pPr>
      <w:r w:rsidRPr="000062AC">
        <w:rPr>
          <w:rFonts w:ascii="Calibri" w:hAnsi="Calibri"/>
        </w:rPr>
        <w:t>Il FCDE rappresenta un vero e proprio capitolo di spesa che va a coprire, prudenzialmente, la potenziale non esigibilità sugli stanziamenti di entrata del Titolo I e del Titolo III, calcolata sulla media degli ultimi 5 anni del rapporto tra incassi e accertamenti di ciascuna risorsa di entrata.</w:t>
      </w:r>
    </w:p>
    <w:p w:rsidR="000062AC" w:rsidRDefault="000062AC" w:rsidP="00FC3F02"/>
    <w:p w:rsidR="00962AC5" w:rsidRDefault="00962AC5" w:rsidP="00FC3F02"/>
    <w:p w:rsidR="00962AC5" w:rsidRDefault="00962AC5" w:rsidP="00FC3F02"/>
    <w:p w:rsidR="00962AC5" w:rsidRDefault="00962AC5" w:rsidP="00FC3F02"/>
    <w:p w:rsidR="00962AC5" w:rsidRDefault="00962AC5" w:rsidP="00FC3F02"/>
    <w:p w:rsidR="00962AC5" w:rsidRDefault="00962AC5" w:rsidP="00FC3F02"/>
    <w:p w:rsidR="00962AC5" w:rsidRDefault="00962AC5" w:rsidP="00FC3F02"/>
    <w:p w:rsidR="00962AC5" w:rsidRDefault="00962AC5" w:rsidP="00FC3F02"/>
    <w:p w:rsidR="00962AC5" w:rsidRDefault="00962AC5" w:rsidP="00FC3F02"/>
    <w:p w:rsidR="00962AC5" w:rsidRDefault="00962AC5" w:rsidP="00FC3F02"/>
    <w:p w:rsidR="00962AC5" w:rsidRDefault="00962AC5" w:rsidP="00FC3F02"/>
    <w:p w:rsidR="00962AC5" w:rsidRDefault="00962AC5" w:rsidP="00FC3F02"/>
    <w:p w:rsidR="00962AC5" w:rsidRDefault="00962AC5" w:rsidP="00FC3F02"/>
    <w:p w:rsidR="00962AC5" w:rsidRDefault="00962AC5" w:rsidP="00FC3F02"/>
    <w:p w:rsidR="00962AC5" w:rsidRDefault="00962AC5" w:rsidP="00FC3F02"/>
    <w:p w:rsidR="00962AC5" w:rsidRDefault="00962AC5" w:rsidP="00FC3F02"/>
    <w:p w:rsidR="00962AC5" w:rsidRDefault="00962AC5" w:rsidP="00FC3F02"/>
    <w:p w:rsidR="00962AC5" w:rsidRDefault="00962AC5" w:rsidP="00FC3F02"/>
    <w:p w:rsidR="00962AC5" w:rsidRPr="00494049" w:rsidRDefault="00962AC5" w:rsidP="00FC3F02"/>
    <w:p w:rsidR="0058641B" w:rsidRDefault="00CB094B" w:rsidP="0058641B">
      <w:pPr>
        <w:pStyle w:val="Titolo1"/>
      </w:pPr>
      <w:bookmarkStart w:id="3" w:name="_Toc496177127"/>
      <w:r>
        <w:lastRenderedPageBreak/>
        <w:t>SEZIONE STRATEGICA</w:t>
      </w:r>
      <w:r w:rsidR="00060218" w:rsidRPr="0058641B">
        <w:br/>
        <w:t>(SeS)</w:t>
      </w:r>
      <w:bookmarkEnd w:id="3"/>
    </w:p>
    <w:p w:rsidR="0058641B" w:rsidRDefault="0058641B" w:rsidP="0058641B"/>
    <w:p w:rsidR="0058641B" w:rsidRDefault="0058641B" w:rsidP="0058641B">
      <w:pPr>
        <w:sectPr w:rsidR="0058641B" w:rsidSect="00D712FA">
          <w:headerReference w:type="default" r:id="rId12"/>
          <w:footerReference w:type="default" r:id="rId13"/>
          <w:pgSz w:w="11906" w:h="16838"/>
          <w:pgMar w:top="1418" w:right="1134" w:bottom="1134" w:left="1134" w:header="709" w:footer="709" w:gutter="0"/>
          <w:cols w:space="708"/>
          <w:vAlign w:val="center"/>
          <w:docGrid w:linePitch="360"/>
        </w:sectPr>
      </w:pPr>
    </w:p>
    <w:p w:rsidR="0058641B" w:rsidRPr="00640949" w:rsidRDefault="00F173C5" w:rsidP="00EA4BE0">
      <w:pPr>
        <w:pStyle w:val="Titolo2"/>
      </w:pPr>
      <w:bookmarkStart w:id="4" w:name="_Toc496177128"/>
      <w:r w:rsidRPr="00F173C5">
        <w:lastRenderedPageBreak/>
        <w:t>Quadro delle condizioni esterne</w:t>
      </w:r>
      <w:bookmarkEnd w:id="4"/>
    </w:p>
    <w:p w:rsidR="0061694F" w:rsidRDefault="0061694F" w:rsidP="0058641B"/>
    <w:p w:rsidR="00476BC5" w:rsidRDefault="00476BC5" w:rsidP="0058641B">
      <w:pPr>
        <w:sectPr w:rsidR="00476BC5" w:rsidSect="00EA4BE0">
          <w:headerReference w:type="default" r:id="rId14"/>
          <w:pgSz w:w="11906" w:h="16838"/>
          <w:pgMar w:top="1418" w:right="1134" w:bottom="1134" w:left="1134" w:header="709" w:footer="709" w:gutter="0"/>
          <w:cols w:space="708"/>
          <w:vAlign w:val="center"/>
          <w:docGrid w:linePitch="360"/>
        </w:sectPr>
      </w:pPr>
    </w:p>
    <w:p w:rsidR="004760DF" w:rsidRDefault="004760DF" w:rsidP="00476BC5">
      <w:pPr>
        <w:pStyle w:val="Titolo3"/>
      </w:pPr>
      <w:r>
        <w:lastRenderedPageBreak/>
        <w:t xml:space="preserve"> </w:t>
      </w:r>
      <w:bookmarkStart w:id="5" w:name="_Toc496177129"/>
      <w:r>
        <w:t>Obiettivi individuati dal governo nazionale</w:t>
      </w:r>
      <w:bookmarkEnd w:id="5"/>
    </w:p>
    <w:p w:rsidR="004760DF" w:rsidRDefault="004760DF" w:rsidP="004760DF"/>
    <w:p w:rsidR="00962AC5" w:rsidRPr="00F42EF2" w:rsidRDefault="00962AC5" w:rsidP="00962AC5">
      <w:pPr>
        <w:spacing w:line="360" w:lineRule="auto"/>
        <w:rPr>
          <w:rFonts w:ascii="Calibri" w:hAnsi="Calibri"/>
          <w:b/>
        </w:rPr>
      </w:pPr>
      <w:r w:rsidRPr="00F42EF2">
        <w:rPr>
          <w:rFonts w:ascii="Calibri" w:hAnsi="Calibri"/>
          <w:b/>
        </w:rPr>
        <w:t>Con riferimento alle condizioni esterne si evidenziano i seguenti elementi di valutazione:</w:t>
      </w:r>
    </w:p>
    <w:p w:rsidR="00962AC5" w:rsidRPr="00F42EF2" w:rsidRDefault="00962AC5" w:rsidP="00962AC5">
      <w:pPr>
        <w:spacing w:line="360" w:lineRule="auto"/>
        <w:rPr>
          <w:rFonts w:ascii="Calibri" w:hAnsi="Calibri"/>
          <w:u w:val="single"/>
        </w:rPr>
      </w:pPr>
      <w:r w:rsidRPr="00F42EF2">
        <w:rPr>
          <w:rFonts w:ascii="Calibri" w:hAnsi="Calibri"/>
          <w:u w:val="single"/>
        </w:rPr>
        <w:t>QUADRO DI RIFERIMENTO NAZIONALE</w:t>
      </w:r>
    </w:p>
    <w:p w:rsidR="00962AC5" w:rsidRPr="00F42EF2" w:rsidRDefault="00962AC5" w:rsidP="00962AC5">
      <w:pPr>
        <w:spacing w:line="360" w:lineRule="auto"/>
        <w:rPr>
          <w:rFonts w:ascii="Calibri" w:hAnsi="Calibri"/>
        </w:rPr>
      </w:pPr>
      <w:r w:rsidRPr="00F42EF2">
        <w:rPr>
          <w:rFonts w:ascii="Calibri" w:hAnsi="Calibri"/>
        </w:rPr>
        <w:t>L’art. 2 comma 186 della legge n. 191/2009 finanziaria 2010 ha previsto che i Comuni devono procedere alla soppressione dei consorzi di funzione tra gli enti locali, con la precisazione successiva che la suddetta disposizione si applica a decorrere dal 2011 al momento del rinnovo del rispettivo consiglio, con efficacia dalla data del medesimo rinnovo e pertanto per questo Ente avrebbe dovuto trovare applicazione a decorrere dal 12 aprile 2015 (termine di scadenza quinquennale del consiglio di amministrazione 2010 – 2015). L’art. 3 bis del D.L. n. 138/2011 in vigore dal 1 gennaio 2015 dispone testualmente quanto segue:</w:t>
      </w:r>
    </w:p>
    <w:p w:rsidR="00962AC5" w:rsidRPr="00F42EF2" w:rsidRDefault="00962AC5" w:rsidP="00962AC5">
      <w:pPr>
        <w:spacing w:line="360" w:lineRule="auto"/>
        <w:rPr>
          <w:rFonts w:ascii="Calibri" w:hAnsi="Calibri"/>
        </w:rPr>
      </w:pPr>
      <w:r w:rsidRPr="00F42EF2">
        <w:rPr>
          <w:rFonts w:ascii="Calibri" w:hAnsi="Calibri"/>
        </w:rPr>
        <w:t>1. A tutela della concorrenza e dell'ambiente, le regioni e le province autonome di Trento e di Bolzano organizzano lo svolgimento dei servizi pubblici locali a rete di rilevanza economica definendo il perimetro degli ambiti o bacini territoriali ottimali e omogenei tali da consentire economie di scala e di differenziazione idonee a massimizzare l'efficienza del servizio e istituendo o designando gli enti di governo degli stessi, entro il termine del 30 giugno 2012. La dimensione degli ambiti o bacini territoriali ottimali di norma deve essere non inferiore almeno a quella del territorio provinciale. Le regioni possono individuare specifici bacini territoriali di dimensione diversa da quella provinciale, motivando la scelta in base a criteri di differenziazione territoriale e socio-economica e in base a principi di proporzionalità, adeguatezza ed efficienza rispetto alle caratteristiche del servizio, anche su proposta dei comuni presentata entro il 31 maggio 2012 previa lettera di adesione dei sindaci interessati o delibera di un organismo associato e già costituito ai sensi dell'</w:t>
      </w:r>
      <w:hyperlink r:id="rId15" w:anchor="id=10LX0000143551ART33,__m=document" w:history="1">
        <w:r w:rsidRPr="00F42EF2">
          <w:rPr>
            <w:rFonts w:ascii="Calibri" w:hAnsi="Calibri"/>
            <w:iCs/>
          </w:rPr>
          <w:t>articolo 30 del testo unico di cui al decreto legislativo 18 agosto 2000, n. 267</w:t>
        </w:r>
      </w:hyperlink>
      <w:r w:rsidRPr="00F42EF2">
        <w:rPr>
          <w:rFonts w:ascii="Calibri" w:hAnsi="Calibri"/>
        </w:rPr>
        <w:t>. Fermo restando il termine di cui al primo periodo del presente comma che opera anche in deroga a disposizioni esistenti in ordine ai tempi previsti per la riorganizzazione del servizio in ambiti, è fatta salva l'organizzazione di servizi pubblici locali di settore in ambiti o bacini territoriali ottimali già prevista in attuazione di specifiche direttive europee nonché ai sensi delle discipline di settore vigenti o, infine, delle disposizioni regionali che abbiano già avviato la costituzione di ambiti o bacini territoriali in coerenza con le previsioni indicate nel presente comma. Decorso inutilmente il termine indicato, il Consiglio dei Ministri, a tutela dell'unità giuridica ed economica, esercita i poteri sostitutivi di cui all'</w:t>
      </w:r>
      <w:hyperlink r:id="rId16" w:anchor="id=10LX0000155985ART8,__m=document" w:history="1">
        <w:r w:rsidRPr="00F42EF2">
          <w:rPr>
            <w:rFonts w:ascii="Calibri" w:hAnsi="Calibri"/>
            <w:iCs/>
          </w:rPr>
          <w:t>articolo 8 della legge 5 giugno 2003, n. 131</w:t>
        </w:r>
      </w:hyperlink>
      <w:r w:rsidRPr="00F42EF2">
        <w:rPr>
          <w:rFonts w:ascii="Calibri" w:hAnsi="Calibri"/>
        </w:rPr>
        <w:t xml:space="preserve">, per organizzare lo svolgimento dei servizi pubblici locali in ambiti o bacini territoriali ottimali e omogenei, comunque tali da consentire economie di scala e di differenziazione idonee a massimizzare l'efficienza del servizio. </w:t>
      </w:r>
    </w:p>
    <w:p w:rsidR="00962AC5" w:rsidRPr="00F42EF2" w:rsidRDefault="00962AC5" w:rsidP="00962AC5">
      <w:pPr>
        <w:shd w:val="clear" w:color="auto" w:fill="FFFFFF"/>
        <w:spacing w:after="0" w:line="360" w:lineRule="auto"/>
        <w:rPr>
          <w:rFonts w:ascii="Calibri" w:eastAsia="Times New Roman" w:hAnsi="Calibri" w:cs="Times New Roman"/>
          <w:lang w:eastAsia="it-IT"/>
        </w:rPr>
      </w:pPr>
      <w:r w:rsidRPr="00F42EF2">
        <w:rPr>
          <w:rFonts w:ascii="Calibri" w:eastAsia="Times New Roman" w:hAnsi="Calibri" w:cs="Times New Roman"/>
          <w:lang w:eastAsia="it-IT"/>
        </w:rPr>
        <w:t xml:space="preserve">1-bis. Le funzioni di organizzazione dei servizi pubblici locali a rete di rilevanza economica, compresi quelli appartenenti al settore dei rifiuti urbani, di scelta della forma di gestione, di determinazione delle tariffe </w:t>
      </w:r>
      <w:r w:rsidRPr="00F42EF2">
        <w:rPr>
          <w:rFonts w:ascii="Calibri" w:eastAsia="Times New Roman" w:hAnsi="Calibri" w:cs="Times New Roman"/>
          <w:lang w:eastAsia="it-IT"/>
        </w:rPr>
        <w:lastRenderedPageBreak/>
        <w:t xml:space="preserve">all'utenza per quanto di competenza, di affidamento della gestione e relativo controllo sono esercitate unicamente dagli enti di governo degli ambiti o bacini territoriali ottimali e omogenei istituiti o designati ai sensi del comma 1 del presente articolo cui gli enti locali partecipano obbligatoriamente, fermo restando quanto previsto dall'articolo </w:t>
      </w:r>
      <w:hyperlink r:id="rId17" w:anchor="id=10LX0000797968ART13,__m=document" w:history="1">
        <w:r w:rsidRPr="00F42EF2">
          <w:rPr>
            <w:rFonts w:ascii="Calibri" w:eastAsia="Times New Roman" w:hAnsi="Calibri" w:cs="Times New Roman"/>
            <w:u w:val="single"/>
            <w:lang w:eastAsia="it-IT"/>
          </w:rPr>
          <w:t>1, comma 90</w:t>
        </w:r>
      </w:hyperlink>
      <w:r w:rsidRPr="00F42EF2">
        <w:rPr>
          <w:rFonts w:ascii="Calibri" w:eastAsia="Times New Roman" w:hAnsi="Calibri" w:cs="Times New Roman"/>
          <w:lang w:eastAsia="it-IT"/>
        </w:rPr>
        <w:t xml:space="preserve">, della </w:t>
      </w:r>
      <w:hyperlink r:id="rId18" w:anchor="id=10LX0000797968ART0,__m=document" w:history="1">
        <w:r w:rsidRPr="00F42EF2">
          <w:rPr>
            <w:rFonts w:ascii="Calibri" w:eastAsia="Times New Roman" w:hAnsi="Calibri" w:cs="Times New Roman"/>
            <w:u w:val="single"/>
            <w:lang w:eastAsia="it-IT"/>
          </w:rPr>
          <w:t>legge 7 aprile 2014, n. 56</w:t>
        </w:r>
      </w:hyperlink>
      <w:r w:rsidRPr="00F42EF2">
        <w:rPr>
          <w:rFonts w:ascii="Calibri" w:eastAsia="Times New Roman" w:hAnsi="Calibri" w:cs="Times New Roman"/>
          <w:lang w:eastAsia="it-IT"/>
        </w:rPr>
        <w:t xml:space="preserve">. Qualora gli enti locali non aderiscano ai predetti enti di governo entro il 1° marzo 2015 oppure entro sessanta giorni dall'istituzione o designazione dell'ente di governo dell'ambito territoriale ottimale ai sensi del comma 2 dell'articolo </w:t>
      </w:r>
      <w:hyperlink r:id="rId19" w:anchor="id=10LX0000793893ART25,__m=document" w:history="1">
        <w:r w:rsidRPr="00F42EF2">
          <w:rPr>
            <w:rFonts w:ascii="Calibri" w:eastAsia="Times New Roman" w:hAnsi="Calibri" w:cs="Times New Roman"/>
            <w:u w:val="single"/>
            <w:lang w:eastAsia="it-IT"/>
          </w:rPr>
          <w:t>13</w:t>
        </w:r>
      </w:hyperlink>
      <w:r w:rsidRPr="00F42EF2">
        <w:rPr>
          <w:rFonts w:ascii="Calibri" w:eastAsia="Times New Roman" w:hAnsi="Calibri" w:cs="Times New Roman"/>
          <w:lang w:eastAsia="it-IT"/>
        </w:rPr>
        <w:t xml:space="preserve"> del </w:t>
      </w:r>
      <w:hyperlink r:id="rId20" w:anchor="id=10LX0000793893ART0,__m=document" w:history="1">
        <w:r w:rsidRPr="00F42EF2">
          <w:rPr>
            <w:rFonts w:ascii="Calibri" w:eastAsia="Times New Roman" w:hAnsi="Calibri" w:cs="Times New Roman"/>
            <w:u w:val="single"/>
            <w:lang w:eastAsia="it-IT"/>
          </w:rPr>
          <w:t>decreto-legge 30 dicembre 2013, n. 150</w:t>
        </w:r>
      </w:hyperlink>
      <w:r w:rsidRPr="00F42EF2">
        <w:rPr>
          <w:rFonts w:ascii="Calibri" w:eastAsia="Times New Roman" w:hAnsi="Calibri" w:cs="Times New Roman"/>
          <w:lang w:eastAsia="it-IT"/>
        </w:rPr>
        <w:t xml:space="preserve">, convertito, con modificazioni, dalla </w:t>
      </w:r>
      <w:hyperlink r:id="rId21" w:anchor="id=10LX0000796458ART0,__m=document" w:history="1">
        <w:r w:rsidRPr="00F42EF2">
          <w:rPr>
            <w:rFonts w:ascii="Calibri" w:eastAsia="Times New Roman" w:hAnsi="Calibri" w:cs="Times New Roman"/>
            <w:u w:val="single"/>
            <w:lang w:eastAsia="it-IT"/>
          </w:rPr>
          <w:t>legge 27 febbraio 2014, n. 15</w:t>
        </w:r>
      </w:hyperlink>
      <w:r w:rsidRPr="00F42EF2">
        <w:rPr>
          <w:rFonts w:ascii="Calibri" w:eastAsia="Times New Roman" w:hAnsi="Calibri" w:cs="Times New Roman"/>
          <w:lang w:eastAsia="it-IT"/>
        </w:rPr>
        <w:t xml:space="preserve">, il Presidente della regione esercita, previa diffida all'ente locale ad adempiere entro il termine di trenta giorni, i poteri sostitutivi. Gli enti di governo di cui al comma 1 devono effettuare la relazione prescritta dall'articolo </w:t>
      </w:r>
      <w:hyperlink r:id="rId22" w:anchor="id=10LX0000775415ART46,__m=document" w:history="1">
        <w:r w:rsidRPr="00F42EF2">
          <w:rPr>
            <w:rFonts w:ascii="Calibri" w:eastAsia="Times New Roman" w:hAnsi="Calibri" w:cs="Times New Roman"/>
            <w:u w:val="single"/>
            <w:lang w:eastAsia="it-IT"/>
          </w:rPr>
          <w:t>34, comma 20</w:t>
        </w:r>
      </w:hyperlink>
      <w:r w:rsidRPr="00F42EF2">
        <w:rPr>
          <w:rFonts w:ascii="Calibri" w:eastAsia="Times New Roman" w:hAnsi="Calibri" w:cs="Times New Roman"/>
          <w:lang w:eastAsia="it-IT"/>
        </w:rPr>
        <w:t xml:space="preserve">, del </w:t>
      </w:r>
      <w:hyperlink r:id="rId23" w:anchor="id=10LX0000775415ART0,__m=document" w:history="1">
        <w:r w:rsidRPr="00F42EF2">
          <w:rPr>
            <w:rFonts w:ascii="Calibri" w:eastAsia="Times New Roman" w:hAnsi="Calibri" w:cs="Times New Roman"/>
            <w:u w:val="single"/>
            <w:lang w:eastAsia="it-IT"/>
          </w:rPr>
          <w:t>decreto-legge 18 ottobre 2012, n. 179</w:t>
        </w:r>
      </w:hyperlink>
      <w:r w:rsidRPr="00F42EF2">
        <w:rPr>
          <w:rFonts w:ascii="Calibri" w:eastAsia="Times New Roman" w:hAnsi="Calibri" w:cs="Times New Roman"/>
          <w:lang w:eastAsia="it-IT"/>
        </w:rPr>
        <w:t xml:space="preserve">, convertito, con modificazioni, dalla </w:t>
      </w:r>
      <w:hyperlink r:id="rId24" w:anchor="id=10LX0000778158ART0,__m=document" w:history="1">
        <w:r w:rsidRPr="00F42EF2">
          <w:rPr>
            <w:rFonts w:ascii="Calibri" w:eastAsia="Times New Roman" w:hAnsi="Calibri" w:cs="Times New Roman"/>
            <w:u w:val="single"/>
            <w:lang w:eastAsia="it-IT"/>
          </w:rPr>
          <w:t>legge 17 dicembre 2012, n. 221</w:t>
        </w:r>
      </w:hyperlink>
      <w:r w:rsidRPr="00F42EF2">
        <w:rPr>
          <w:rFonts w:ascii="Calibri" w:eastAsia="Times New Roman" w:hAnsi="Calibri" w:cs="Times New Roman"/>
          <w:lang w:eastAsia="it-IT"/>
        </w:rPr>
        <w:t xml:space="preserve">, e le loro deliberazioni sono validamente assunte nei competenti organi degli stessi senza necessità di ulteriori deliberazioni, preventive o successive, da parte degli organi degli enti locali. Nella menzionata relazione, gli enti di governo danno conto della sussistenza dei requisiti previsti dall'ordinamento europeo per la forma di affidamento prescelta e ne motivano le ragioni con riferimento agli obiettivi di universalità e socialità, di efficienza, di economicità e di qualità del servizio. Al fine di assicurare la realizzazione degli interventi infrastrutturali necessari da parte del soggetto affidatario, la relazione deve comprendere un piano economico-finanziario che, fatte salve le disposizioni di settore, contenga anche la proiezione, per il periodo di durata dell'affidamento, dei costi e dei ricavi, degli investimenti e dei relativi finanziamenti, con la specificazione, nell'ipotesi di affidamento in house, dell'assetto economico-patrimoniale della società, del capitale proprio investito e dell'ammontare dell'indebitamento da aggiornare ogni triennio. Il piano economico-finanziario deve essere asseverato da un istituto di credito o da società di servizi costituite dall'istituto di credito stesso e iscritte nell'albo degli intermediari finanziari, ai sensi dell'articolo 106 del testo unico di cui al decreto legislativo 1° settembre 1993, n. 385, e successive modificazioni, o da una società di revisione ai sensi dell'articolo </w:t>
      </w:r>
      <w:hyperlink r:id="rId25" w:anchor="id=10LX0000119898ART1,__m=document" w:history="1">
        <w:r w:rsidRPr="00F42EF2">
          <w:rPr>
            <w:rFonts w:ascii="Calibri" w:eastAsia="Times New Roman" w:hAnsi="Calibri" w:cs="Times New Roman"/>
            <w:u w:val="single"/>
            <w:lang w:eastAsia="it-IT"/>
          </w:rPr>
          <w:t>1</w:t>
        </w:r>
      </w:hyperlink>
      <w:r w:rsidRPr="00F42EF2">
        <w:rPr>
          <w:rFonts w:ascii="Calibri" w:eastAsia="Times New Roman" w:hAnsi="Calibri" w:cs="Times New Roman"/>
          <w:lang w:eastAsia="it-IT"/>
        </w:rPr>
        <w:t xml:space="preserve"> della </w:t>
      </w:r>
      <w:hyperlink r:id="rId26" w:anchor="id=10LX0000119898ART0,__m=document" w:history="1">
        <w:r w:rsidRPr="00F42EF2">
          <w:rPr>
            <w:rFonts w:ascii="Calibri" w:eastAsia="Times New Roman" w:hAnsi="Calibri" w:cs="Times New Roman"/>
            <w:u w:val="single"/>
            <w:lang w:eastAsia="it-IT"/>
          </w:rPr>
          <w:t>legge 23 novembre 1939, n. 1966</w:t>
        </w:r>
      </w:hyperlink>
      <w:r w:rsidRPr="00F42EF2">
        <w:rPr>
          <w:rFonts w:ascii="Calibri" w:eastAsia="Times New Roman" w:hAnsi="Calibri" w:cs="Times New Roman"/>
          <w:lang w:eastAsia="it-IT"/>
        </w:rPr>
        <w:t xml:space="preserve">. Nel caso di affidamento in house, gli enti locali proprietari procedono, contestualmente all'affidamento, ad accantonare pro quota nel primo bilancio utile, e successivamente ogni triennio, una somma pari all'impegno finanziario corrispondente al capitale proprio previsto per il triennio nonché a redigere il bilancio consolidato con il soggetto affidatario in house. </w:t>
      </w:r>
      <w:r w:rsidRPr="00F42EF2">
        <w:rPr>
          <w:rFonts w:ascii="Calibri" w:eastAsia="Times New Roman" w:hAnsi="Calibri" w:cs="Times New Roman"/>
          <w:sz w:val="24"/>
          <w:szCs w:val="24"/>
          <w:lang w:eastAsia="it-IT"/>
        </w:rPr>
        <w:t>Da quanto disposto dalle predette disposizioni nazionali deriva che da una parte è prevista la soppressione di questo consorzio (che attualmente ricopre la doppia veste ente di governo di ambito e bacino per la gestione dei rifiuti), e dall’altro è previsto la creazione di enti di governo aventi degli ambiti o bacini territoriali ottimali di norma corrispondenti con le provincie, ferma restando la possibilità delle regioni di individuare bacini di dimensione diversa da quelle provinciale.</w:t>
      </w:r>
    </w:p>
    <w:p w:rsidR="00962AC5" w:rsidRPr="00F42EF2" w:rsidRDefault="00962AC5" w:rsidP="00962AC5">
      <w:pPr>
        <w:rPr>
          <w:rFonts w:cstheme="minorHAnsi"/>
        </w:rPr>
      </w:pPr>
    </w:p>
    <w:p w:rsidR="00962AC5" w:rsidRDefault="00962AC5" w:rsidP="004760DF"/>
    <w:p w:rsidR="00962AC5" w:rsidRDefault="00962AC5" w:rsidP="004760DF"/>
    <w:p w:rsidR="004760DF" w:rsidRPr="00802D93" w:rsidRDefault="004760DF" w:rsidP="00476BC5">
      <w:pPr>
        <w:pStyle w:val="Titolo3"/>
      </w:pPr>
      <w:bookmarkStart w:id="6" w:name="_Toc496177130"/>
      <w:r w:rsidRPr="00802D93">
        <w:t>Obiettivi individuati dalla programmazione regionale</w:t>
      </w:r>
      <w:bookmarkEnd w:id="6"/>
    </w:p>
    <w:p w:rsidR="001869B6" w:rsidRPr="00802D93" w:rsidRDefault="001869B6" w:rsidP="001869B6"/>
    <w:p w:rsidR="00962AC5" w:rsidRPr="00802D93" w:rsidRDefault="00962AC5" w:rsidP="00962AC5">
      <w:pPr>
        <w:spacing w:line="360" w:lineRule="auto"/>
        <w:rPr>
          <w:rFonts w:ascii="Calibri" w:hAnsi="Calibri"/>
          <w:u w:val="single"/>
        </w:rPr>
      </w:pPr>
      <w:r w:rsidRPr="00802D93">
        <w:rPr>
          <w:rFonts w:ascii="Calibri" w:hAnsi="Calibri"/>
          <w:u w:val="single"/>
        </w:rPr>
        <w:t>QUADRO DI RIFERIMENTO REGIONALE</w:t>
      </w:r>
    </w:p>
    <w:p w:rsidR="00962AC5" w:rsidRPr="00802D93" w:rsidRDefault="00962AC5" w:rsidP="00962AC5">
      <w:pPr>
        <w:spacing w:line="360" w:lineRule="auto"/>
        <w:rPr>
          <w:rFonts w:ascii="Calibri" w:eastAsia="Calibri" w:hAnsi="Calibri"/>
        </w:rPr>
      </w:pPr>
      <w:r w:rsidRPr="00802D93">
        <w:rPr>
          <w:rFonts w:ascii="Calibri" w:eastAsia="Calibri" w:hAnsi="Calibri"/>
        </w:rPr>
        <w:t>Con legge n°07 del maggio 2012, la Regione Piemonte, superando le vecchie disposizioni contenute nella legge regionale n. 24/2002, ha approvato nuove norme in materia di gestione integrata dei rifiuti modificando in termini sostanziali l’organizzazione delle funzioni e delle competenze in attuazione sia della disciplina nazionale di settore, sia di quella relativa all’esercizio associato delle funzioni fondamentali degli enti locali.</w:t>
      </w:r>
    </w:p>
    <w:p w:rsidR="00962AC5" w:rsidRPr="00802D93" w:rsidRDefault="00962AC5" w:rsidP="00962AC5">
      <w:pPr>
        <w:spacing w:line="360" w:lineRule="auto"/>
        <w:rPr>
          <w:rFonts w:ascii="Calibri" w:eastAsia="Calibri" w:hAnsi="Calibri"/>
        </w:rPr>
      </w:pPr>
      <w:r w:rsidRPr="00802D93">
        <w:rPr>
          <w:rFonts w:ascii="Calibri" w:eastAsia="Calibri" w:hAnsi="Calibri"/>
        </w:rPr>
        <w:t xml:space="preserve">Il territorio regionale risulta suddiviso in quattro ambiti territoriali ottimali e la provincia del VCO dovrà costituire un unico Ambito territoriale Ottimale unitamente alle province di Vercelli, Novara e Biella.  </w:t>
      </w:r>
    </w:p>
    <w:p w:rsidR="00962AC5" w:rsidRPr="00802D93" w:rsidRDefault="00962AC5" w:rsidP="00962AC5">
      <w:pPr>
        <w:spacing w:line="360" w:lineRule="auto"/>
        <w:rPr>
          <w:rFonts w:ascii="Calibri" w:eastAsia="Calibri" w:hAnsi="Calibri"/>
        </w:rPr>
      </w:pPr>
      <w:r w:rsidRPr="00802D93">
        <w:rPr>
          <w:rFonts w:ascii="Calibri" w:eastAsia="Calibri" w:hAnsi="Calibri"/>
        </w:rPr>
        <w:t>La predetta legge n°7/2012 ha in particolare stabilito che “le province e i comuni di ciascun ambito territoriale ottimale esercitano le funzioni di organizzazione del servizio di gestione integrata dei rifiuti urbani attraverso apposite conferenze d’ambito, che operano, in nome e per conto degli enti locali associati, secondo modalità definite dall'apposita convenzione che le istituisce, stipulata ai sensi della normativa sull'ordinamento degli enti locali.</w:t>
      </w:r>
    </w:p>
    <w:p w:rsidR="00962AC5" w:rsidRPr="00802D93" w:rsidRDefault="00962AC5" w:rsidP="00962AC5">
      <w:pPr>
        <w:spacing w:line="360" w:lineRule="auto"/>
        <w:rPr>
          <w:rFonts w:ascii="Calibri" w:eastAsia="Calibri" w:hAnsi="Calibri"/>
        </w:rPr>
      </w:pPr>
      <w:r w:rsidRPr="00802D93">
        <w:rPr>
          <w:rFonts w:ascii="Calibri" w:eastAsia="Calibri" w:hAnsi="Calibri"/>
        </w:rPr>
        <w:t>La norma regionale prevedeva infine che le Province e i Comuni stipulassero la convenzione istitutiva della Conferenza d’ambito, sulla base di una convenzione-tipo approvata dalla Giunta regionale, entro un anno dalla data di entrata in vigore della medesima.</w:t>
      </w:r>
    </w:p>
    <w:p w:rsidR="00962AC5" w:rsidRPr="00802D93" w:rsidRDefault="00962AC5" w:rsidP="00962AC5">
      <w:pPr>
        <w:spacing w:line="360" w:lineRule="auto"/>
        <w:rPr>
          <w:rFonts w:ascii="Calibri" w:eastAsia="Calibri" w:hAnsi="Calibri"/>
        </w:rPr>
      </w:pPr>
      <w:r w:rsidRPr="00802D93">
        <w:rPr>
          <w:rFonts w:ascii="Calibri" w:eastAsia="Calibri" w:hAnsi="Calibri"/>
        </w:rPr>
        <w:t>In seguito, la Regione Piemonte con la D.G.R. 25 novembre 2013, n. 34/6746, pubblicata sul B.U.R. del 28 novembre 2013 recante ”Atto di indirizzo e coordinamento per la conclusione del percorso di costituzione delle conferenze d’ambito ” espressamente manifestava l’intendimento di proseguire nel procedimento di istituzione della conferenza d’ambito, ribadendo il compito di determinare le tariffe del servizio di gestione integrata dei rifiuti e di disposizione in ordine alla destinazione dei proventi.</w:t>
      </w:r>
    </w:p>
    <w:p w:rsidR="00962AC5" w:rsidRPr="00802D93" w:rsidRDefault="00962AC5" w:rsidP="00962AC5">
      <w:pPr>
        <w:spacing w:line="360" w:lineRule="auto"/>
        <w:rPr>
          <w:rFonts w:ascii="Calibri" w:eastAsia="Calibri" w:hAnsi="Calibri"/>
        </w:rPr>
      </w:pPr>
      <w:r w:rsidRPr="00802D93">
        <w:rPr>
          <w:rFonts w:ascii="Calibri" w:eastAsia="Calibri" w:hAnsi="Calibri"/>
        </w:rPr>
        <w:t xml:space="preserve">Entro i termini dell’atto di indirizzo, novanta giorni decorrenti dal 28.11.2013, nessuna ipotesi di organizzazione della Conferenza d’Ambito è risultata condivisa.  </w:t>
      </w:r>
    </w:p>
    <w:p w:rsidR="00962AC5" w:rsidRPr="00802D93" w:rsidRDefault="00962AC5" w:rsidP="00962AC5">
      <w:pPr>
        <w:spacing w:line="360" w:lineRule="auto"/>
        <w:rPr>
          <w:rFonts w:ascii="Calibri" w:eastAsia="Calibri" w:hAnsi="Calibri"/>
        </w:rPr>
      </w:pPr>
      <w:r w:rsidRPr="00802D93">
        <w:rPr>
          <w:rFonts w:ascii="Calibri" w:eastAsia="Calibri" w:hAnsi="Calibri"/>
        </w:rPr>
        <w:t>Con l’ultima legge n. 23 del 29 ottobre 2015, in materia di riordino delle funzioni delle province, la Regione Piemonte, all’art. 7 ha disposto testualmente quanto segue:</w:t>
      </w:r>
    </w:p>
    <w:p w:rsidR="00962AC5" w:rsidRPr="00802D93" w:rsidRDefault="00962AC5" w:rsidP="00962AC5">
      <w:pPr>
        <w:spacing w:line="360" w:lineRule="auto"/>
        <w:rPr>
          <w:rFonts w:ascii="Calibri" w:eastAsia="Calibri" w:hAnsi="Calibri"/>
        </w:rPr>
      </w:pPr>
      <w:r w:rsidRPr="00802D93">
        <w:rPr>
          <w:rFonts w:ascii="Calibri" w:eastAsia="Calibri" w:hAnsi="Calibri"/>
        </w:rPr>
        <w:lastRenderedPageBreak/>
        <w:t>1. Ai sensi e per gli effetti dell’articolo 1, comma 90 della l. 56/2014, le funzioni di organizzazione e controllo diretto del servizio di gestione integrata dei rifiuti urbani sono attribuite alla Città metropolitana ed alle province, che le esercitano nei modi e nei tempi stabiliti da apposita legge regionale, da adottarsi entro un anno dall’entrata in vigore della presente legge.</w:t>
      </w:r>
    </w:p>
    <w:p w:rsidR="00962AC5" w:rsidRPr="00802D93" w:rsidRDefault="00962AC5" w:rsidP="00962AC5">
      <w:pPr>
        <w:spacing w:line="360" w:lineRule="auto"/>
        <w:rPr>
          <w:rFonts w:ascii="Calibri" w:eastAsia="Calibri" w:hAnsi="Calibri"/>
        </w:rPr>
      </w:pPr>
      <w:r w:rsidRPr="00802D93">
        <w:rPr>
          <w:rFonts w:ascii="Calibri" w:eastAsia="Calibri" w:hAnsi="Calibri"/>
        </w:rPr>
        <w:t>2. La legge regionale di cui al comma 1 è approvata nel rispetto dei seguenti principi:</w:t>
      </w:r>
    </w:p>
    <w:p w:rsidR="00962AC5" w:rsidRPr="00802D93" w:rsidRDefault="00962AC5" w:rsidP="00962AC5">
      <w:pPr>
        <w:spacing w:line="360" w:lineRule="auto"/>
        <w:rPr>
          <w:rFonts w:ascii="Calibri" w:eastAsia="Calibri" w:hAnsi="Calibri"/>
        </w:rPr>
      </w:pPr>
      <w:r w:rsidRPr="00802D93">
        <w:rPr>
          <w:rFonts w:ascii="Calibri" w:eastAsia="Calibri" w:hAnsi="Calibri"/>
        </w:rPr>
        <w:t>a) la Città metropolitana e le province esercitano in forma associata a livello di ambito regionale le funzioni inerenti la realizzazione e la gestione degli impianti tecnologici di recupero e smaltimento dei rifiuti, ivi comprese le discariche;</w:t>
      </w:r>
    </w:p>
    <w:p w:rsidR="00962AC5" w:rsidRPr="00802D93" w:rsidRDefault="00962AC5" w:rsidP="00962AC5">
      <w:pPr>
        <w:spacing w:line="360" w:lineRule="auto"/>
        <w:rPr>
          <w:rFonts w:ascii="Calibri" w:eastAsia="Calibri" w:hAnsi="Calibri"/>
        </w:rPr>
      </w:pPr>
      <w:r w:rsidRPr="00802D93">
        <w:rPr>
          <w:rFonts w:ascii="Calibri" w:eastAsia="Calibri" w:hAnsi="Calibri"/>
        </w:rPr>
        <w:t>b) la Città metropolitana e le province esercitano le funzioni concernenti i conferimenti separati, la raccolta differenziata, la raccolta ed il trasporto dei rifiuti garantendo la partecipazione diretta dei comuni, organizzati per aree territoriali omogenee, alle relative decisioni.</w:t>
      </w:r>
    </w:p>
    <w:p w:rsidR="00962AC5" w:rsidRPr="00802D93" w:rsidRDefault="00962AC5" w:rsidP="00962AC5">
      <w:pPr>
        <w:spacing w:line="360" w:lineRule="auto"/>
        <w:rPr>
          <w:rFonts w:ascii="Calibri" w:eastAsia="Calibri" w:hAnsi="Calibri"/>
        </w:rPr>
      </w:pPr>
      <w:r w:rsidRPr="00802D93">
        <w:rPr>
          <w:rFonts w:ascii="Calibri" w:eastAsia="Calibri" w:hAnsi="Calibri"/>
        </w:rPr>
        <w:t>3. Resta fermo quanto previsto dall’articolo 14, commi 3 e 9 della legge regionale 24 maggio 2012, n. 7 (Disposizioni in materia di servizio idrico integrato e di gestione integrata dei rifiuti urbani).</w:t>
      </w:r>
    </w:p>
    <w:p w:rsidR="00962AC5" w:rsidRPr="00802D93" w:rsidRDefault="00962AC5" w:rsidP="00962AC5">
      <w:pPr>
        <w:spacing w:line="360" w:lineRule="auto"/>
        <w:rPr>
          <w:rFonts w:ascii="Calibri" w:eastAsia="Calibri" w:hAnsi="Calibri"/>
          <w:b/>
          <w:u w:val="single"/>
        </w:rPr>
      </w:pPr>
      <w:r w:rsidRPr="00802D93">
        <w:rPr>
          <w:rFonts w:ascii="Calibri" w:eastAsia="Calibri" w:hAnsi="Calibri"/>
          <w:b/>
          <w:u w:val="single"/>
        </w:rPr>
        <w:t>CONSIDERAZIONI PRELIMINARI</w:t>
      </w:r>
    </w:p>
    <w:p w:rsidR="00962AC5" w:rsidRPr="00802D93" w:rsidRDefault="00962AC5" w:rsidP="00962AC5">
      <w:pPr>
        <w:spacing w:line="360" w:lineRule="auto"/>
        <w:rPr>
          <w:rFonts w:ascii="Calibri" w:hAnsi="Calibri"/>
        </w:rPr>
      </w:pPr>
      <w:r w:rsidRPr="00802D93">
        <w:rPr>
          <w:rFonts w:ascii="Calibri" w:eastAsia="Calibri" w:hAnsi="Calibri"/>
        </w:rPr>
        <w:t>Tenuto conto del quadro normativo nazionale e regionale sopra richiamato, questo ente si è posto in primis il problema della sua stessa esistenza, ponendosi la questione del</w:t>
      </w:r>
      <w:r w:rsidRPr="00802D93">
        <w:rPr>
          <w:rFonts w:ascii="Calibri" w:hAnsi="Calibri"/>
        </w:rPr>
        <w:t xml:space="preserve"> raccordo tra le norme statali in materia di consorzi e le norme regionali di settore in materia di servizio idrico e di gestione integrata dei rifiuti L.R. n. 24/2002 e L.R. n.7/2012: infatti come sopra evidenziato:</w:t>
      </w:r>
    </w:p>
    <w:p w:rsidR="00962AC5" w:rsidRPr="00802D93" w:rsidRDefault="00962AC5" w:rsidP="00962AC5">
      <w:pPr>
        <w:spacing w:line="360" w:lineRule="auto"/>
        <w:rPr>
          <w:rFonts w:ascii="Calibri" w:hAnsi="Calibri"/>
        </w:rPr>
      </w:pPr>
      <w:r w:rsidRPr="00802D93">
        <w:rPr>
          <w:rFonts w:ascii="Calibri" w:hAnsi="Calibri"/>
        </w:rPr>
        <w:t>-da una parte la normativa statale (art. 2 comma 186 della legge n. 191 del 23/12/2009 finanziaria 2010) prevede che i Comuni devono procedere alla soppressione dei consorzi di funzione tra gli enti locali, con la precisazione successiva che la disposizione suddetta si applica a decorrere dal 2011 al momento del rinnovo del rispettivo consiglio, con efficacia dalla data del medesimo rinnovo e pertanto si dovrebbe applicare a decorrere dal 12/04/2015, termine di scadenza del mandato quinquennale 2010 – 2015;</w:t>
      </w:r>
    </w:p>
    <w:p w:rsidR="00962AC5" w:rsidRPr="00802D93" w:rsidRDefault="00962AC5" w:rsidP="00962AC5">
      <w:pPr>
        <w:spacing w:line="360" w:lineRule="auto"/>
        <w:rPr>
          <w:rFonts w:ascii="Calibri" w:hAnsi="Calibri"/>
        </w:rPr>
      </w:pPr>
      <w:r w:rsidRPr="00802D93">
        <w:rPr>
          <w:rFonts w:ascii="Calibri" w:hAnsi="Calibri"/>
        </w:rPr>
        <w:t>-dall’altra parte la normativa regionale di settore, ed in particolare l’art. 14 avente ad oggetto: Norme transitorie, della Legge Regionale n. 7 del 24/05/2012 prevede, nel regime transitorio, che fino alla costituzione delle nuove conferenze d’ambito restano operanti i consorzi previsti dalla L.R. n. 24/2002, infatti, il predetto articolo 14:</w:t>
      </w:r>
    </w:p>
    <w:p w:rsidR="00962AC5" w:rsidRPr="00802D93" w:rsidRDefault="00962AC5" w:rsidP="00962AC5">
      <w:pPr>
        <w:spacing w:line="360" w:lineRule="auto"/>
        <w:rPr>
          <w:rFonts w:ascii="Calibri" w:hAnsi="Calibri"/>
        </w:rPr>
      </w:pPr>
      <w:r w:rsidRPr="00802D93">
        <w:rPr>
          <w:rFonts w:ascii="Calibri" w:hAnsi="Calibri"/>
        </w:rPr>
        <w:t xml:space="preserve">al comma 3, dispone che: “al fine di garantire la continuità di esercizio delle funzioni amministrative connesse all’erogazione del servizio di gestione integrata dei rifiuti urbani, le funzioni di organizzazione e controllo diretto del sistema integrato di gestione dei rifiuti urbani restano confermate in capo agli enti locali, che le esercitano senza soluzione di continuità ed ad ogni effetto di legge sulla base delle convenzioni </w:t>
      </w:r>
      <w:r w:rsidRPr="00802D93">
        <w:rPr>
          <w:rFonts w:ascii="Calibri" w:hAnsi="Calibri"/>
        </w:rPr>
        <w:lastRenderedPageBreak/>
        <w:t>stipulate in attuazione della L.R. n. 24/2002, sino alla data di conferimento alle nuove conferenze d’ambito previste dall’art. 6 della stessa Legge Regionale 7”.</w:t>
      </w:r>
    </w:p>
    <w:p w:rsidR="00962AC5" w:rsidRPr="00802D93" w:rsidRDefault="00962AC5" w:rsidP="00962AC5">
      <w:pPr>
        <w:spacing w:line="360" w:lineRule="auto"/>
        <w:rPr>
          <w:rFonts w:ascii="Calibri" w:hAnsi="Calibri"/>
        </w:rPr>
      </w:pPr>
      <w:r w:rsidRPr="00802D93">
        <w:rPr>
          <w:rFonts w:ascii="Calibri" w:hAnsi="Calibri"/>
        </w:rPr>
        <w:t>al comma 9, dispone che: “nel periodo transitorio in cui continuano ad esercitare le loro attività, ai consorzi di bacino e alle associazioni d’ambito è vietato attivare procedure di reclutamento del personale”.</w:t>
      </w:r>
    </w:p>
    <w:p w:rsidR="00962AC5" w:rsidRPr="00802D93" w:rsidRDefault="00962AC5" w:rsidP="00962AC5">
      <w:pPr>
        <w:spacing w:line="360" w:lineRule="auto"/>
        <w:rPr>
          <w:rFonts w:ascii="Calibri" w:hAnsi="Calibri"/>
        </w:rPr>
      </w:pPr>
      <w:r w:rsidRPr="00802D93">
        <w:rPr>
          <w:rFonts w:ascii="Calibri" w:hAnsi="Calibri"/>
        </w:rPr>
        <w:t xml:space="preserve">al comma 10, dispone che: “a decorrere dalla data di conferimento alla conferenza d’ambito, le associazioni d’ambito e i consorzi di bacino di cui alla L.R. n. 24/2002, sono sciolti o posti in liquidazione, senza necessità di ulteriore atto o deliberazione e si estinguono in conformità alle norme che li disciplinano.” </w:t>
      </w:r>
    </w:p>
    <w:p w:rsidR="00962AC5" w:rsidRPr="00802D93" w:rsidRDefault="00962AC5" w:rsidP="00962AC5">
      <w:pPr>
        <w:spacing w:line="360" w:lineRule="auto"/>
        <w:rPr>
          <w:rFonts w:ascii="Calibri" w:hAnsi="Calibri"/>
        </w:rPr>
      </w:pPr>
      <w:r w:rsidRPr="00802D93">
        <w:rPr>
          <w:rFonts w:ascii="Calibri" w:hAnsi="Calibri"/>
        </w:rPr>
        <w:t>A quanto sopra si aggiunge che l’art. 16 della L.R. n. 7/2012, ad oggetto: “Abrogazione”, al comma 2 le disposizioni di cui agli articoli 9 (articolazione territoriale del sistema integrato di gestione dei rifiuti urbani), art. 10 (servizio di bacino e di ambito) commi 1 e 2, art. 11 (organizzazione delle attività di bacino), art. 12 (organizzazione delle attività di ambito territoriale ottimale) della L.R. 1124/2002, sono efficaci in ciascun ambito territoriale ottimale fino alla data di sottoscrizione della convenzione istitutiva delle relativa conferenza d’ambito.</w:t>
      </w:r>
    </w:p>
    <w:p w:rsidR="00962AC5" w:rsidRPr="00802D93" w:rsidRDefault="00962AC5" w:rsidP="00962AC5">
      <w:pPr>
        <w:spacing w:line="360" w:lineRule="auto"/>
        <w:rPr>
          <w:rFonts w:ascii="Calibri" w:hAnsi="Calibri"/>
        </w:rPr>
      </w:pPr>
      <w:r w:rsidRPr="00802D93">
        <w:rPr>
          <w:rFonts w:ascii="Calibri" w:hAnsi="Calibri"/>
          <w:u w:val="single"/>
        </w:rPr>
        <w:t>Giungendo alla conclusione</w:t>
      </w:r>
      <w:r w:rsidRPr="00802D93">
        <w:rPr>
          <w:rFonts w:ascii="Calibri" w:hAnsi="Calibri"/>
        </w:rPr>
        <w:t xml:space="preserve"> che le predette disposizioni transitorie previste dalla normativa regionale L.R. n. 7/2012, che è successiva alla normativa nazionale (art. 2 comma 186 della legge n. 191 del 23/12/2009 finanziaria 2010), prevedono esplicitamente il mantenimento in vita dei consorzi per tutto il periodo transitorio fino alla data di sottoscrizione della convenzione istitutiva della relativa conferenze d’ambito. Sulla base delle predette considerazioni, l’Assemblea Consortile, nella seduta del 29 maggio 2015, con propri atti n. 22 – 23 – 24, ha provveduto alla nomina del nuovo Consiglio di Amministrazione per tutto il periodo transitorio fino all’insediamento delle nuove conferenze d’ambito previste dalla LR n. 7/2012 e comunque non oltre il quinquennio 2015-2020.</w:t>
      </w:r>
    </w:p>
    <w:p w:rsidR="00962AC5" w:rsidRPr="00802D93" w:rsidRDefault="00962AC5" w:rsidP="00962AC5">
      <w:pPr>
        <w:spacing w:line="360" w:lineRule="auto"/>
        <w:rPr>
          <w:rFonts w:ascii="Calibri" w:hAnsi="Calibri"/>
          <w:b/>
          <w:u w:val="single"/>
        </w:rPr>
      </w:pPr>
      <w:r w:rsidRPr="00802D93">
        <w:rPr>
          <w:rFonts w:ascii="Calibri" w:hAnsi="Calibri"/>
          <w:b/>
          <w:u w:val="single"/>
        </w:rPr>
        <w:t>CONSIDERAZIONI STRATEGICHE</w:t>
      </w:r>
    </w:p>
    <w:p w:rsidR="00962AC5" w:rsidRPr="00802D93" w:rsidRDefault="00962AC5" w:rsidP="00962AC5">
      <w:pPr>
        <w:spacing w:line="360" w:lineRule="auto"/>
        <w:rPr>
          <w:rFonts w:ascii="Calibri" w:hAnsi="Calibri"/>
        </w:rPr>
      </w:pPr>
      <w:r w:rsidRPr="00802D93">
        <w:rPr>
          <w:rFonts w:ascii="Calibri" w:hAnsi="Calibri"/>
        </w:rPr>
        <w:t xml:space="preserve">In considerazione del quadro normativo nazionale e regionale sopra richiamato, questa Amministrazione sta operando in regime di prorogatio in attesa delle decisioni che verranno assunte, si spera a breve, della Regione Piemonte sulla nuova governance per la gestione del settore dei rifiuti. </w:t>
      </w:r>
    </w:p>
    <w:p w:rsidR="00962AC5" w:rsidRPr="00F42EF2" w:rsidRDefault="00962AC5" w:rsidP="00962AC5">
      <w:pPr>
        <w:spacing w:line="360" w:lineRule="auto"/>
        <w:rPr>
          <w:rFonts w:ascii="Calibri" w:hAnsi="Calibri"/>
        </w:rPr>
      </w:pPr>
      <w:r w:rsidRPr="00802D93">
        <w:rPr>
          <w:rFonts w:ascii="Calibri" w:hAnsi="Calibri"/>
        </w:rPr>
        <w:t>Tuttavia in questa fase, l’Amministrazione Consortile, con delibera assembleare n. 28 del 20.07.2015, ha ritenuto opportuno portare avanti come obiettivo strategico la gara a doppio oggetto, dando avvio alla procedura di selezione del socio privato operativo di Conser Vco S.p.A. per la gestione del servizio pubblico locale del ciclo integrato dei rifiuti.</w:t>
      </w:r>
      <w:bookmarkStart w:id="7" w:name="_GoBack"/>
      <w:bookmarkEnd w:id="7"/>
    </w:p>
    <w:p w:rsidR="00962AC5" w:rsidRDefault="00962AC5" w:rsidP="001869B6"/>
    <w:p w:rsidR="009E7708" w:rsidRDefault="009E7708" w:rsidP="004760DF"/>
    <w:p w:rsidR="004760DF" w:rsidRDefault="004760DF" w:rsidP="004760DF">
      <w:pPr>
        <w:sectPr w:rsidR="004760DF" w:rsidSect="002D5C4B">
          <w:pgSz w:w="11906" w:h="16838" w:code="9"/>
          <w:pgMar w:top="1418" w:right="1134" w:bottom="1134" w:left="1134" w:header="709" w:footer="709" w:gutter="0"/>
          <w:cols w:space="708"/>
          <w:docGrid w:linePitch="360"/>
        </w:sectPr>
      </w:pPr>
    </w:p>
    <w:p w:rsidR="00962AC5" w:rsidRPr="00F42EF2" w:rsidRDefault="00962AC5" w:rsidP="00962AC5">
      <w:pPr>
        <w:keepNext/>
        <w:keepLines/>
        <w:numPr>
          <w:ilvl w:val="2"/>
          <w:numId w:val="1"/>
        </w:numPr>
        <w:spacing w:before="200" w:after="0"/>
        <w:outlineLvl w:val="2"/>
        <w:rPr>
          <w:rFonts w:asciiTheme="majorHAnsi" w:eastAsiaTheme="majorEastAsia" w:hAnsiTheme="majorHAnsi" w:cstheme="majorBidi"/>
          <w:b/>
          <w:bCs/>
          <w:sz w:val="32"/>
          <w:szCs w:val="32"/>
        </w:rPr>
      </w:pPr>
      <w:bookmarkStart w:id="8" w:name="_Toc496177131"/>
      <w:r w:rsidRPr="00F42EF2">
        <w:rPr>
          <w:rFonts w:asciiTheme="majorHAnsi" w:eastAsiaTheme="majorEastAsia" w:hAnsiTheme="majorHAnsi" w:cstheme="majorBidi"/>
          <w:b/>
          <w:bCs/>
          <w:sz w:val="32"/>
          <w:szCs w:val="32"/>
        </w:rPr>
        <w:lastRenderedPageBreak/>
        <w:t>Informazioni demografiche</w:t>
      </w:r>
    </w:p>
    <w:p w:rsidR="00962AC5" w:rsidRPr="00F42EF2" w:rsidRDefault="00962AC5" w:rsidP="00962AC5">
      <w:pPr>
        <w:keepNext/>
        <w:keepLines/>
        <w:numPr>
          <w:ilvl w:val="2"/>
          <w:numId w:val="1"/>
        </w:numPr>
        <w:spacing w:before="200" w:after="0"/>
        <w:outlineLvl w:val="2"/>
        <w:rPr>
          <w:rFonts w:asciiTheme="majorHAnsi" w:eastAsiaTheme="majorEastAsia" w:hAnsiTheme="majorHAnsi" w:cstheme="majorBidi"/>
          <w:b/>
          <w:bCs/>
          <w:sz w:val="32"/>
          <w:szCs w:val="32"/>
        </w:rPr>
      </w:pPr>
      <w:r w:rsidRPr="00F42EF2">
        <w:rPr>
          <w:rFonts w:asciiTheme="majorHAnsi" w:eastAsiaTheme="majorEastAsia" w:hAnsiTheme="majorHAnsi" w:cstheme="majorBidi"/>
          <w:b/>
          <w:bCs/>
          <w:sz w:val="32"/>
          <w:szCs w:val="32"/>
        </w:rPr>
        <w:t xml:space="preserve">  2.1.5 Informazioni territoriali ed economiche</w:t>
      </w:r>
    </w:p>
    <w:p w:rsidR="00962AC5" w:rsidRPr="00F42EF2" w:rsidRDefault="00962AC5" w:rsidP="00962AC5">
      <w:pPr>
        <w:widowControl w:val="0"/>
        <w:tabs>
          <w:tab w:val="left" w:pos="3686"/>
        </w:tabs>
        <w:suppressAutoHyphens/>
        <w:spacing w:after="120" w:line="360" w:lineRule="auto"/>
      </w:pPr>
    </w:p>
    <w:p w:rsidR="00962AC5" w:rsidRPr="00F42EF2" w:rsidRDefault="00962AC5" w:rsidP="00962AC5">
      <w:pPr>
        <w:widowControl w:val="0"/>
        <w:tabs>
          <w:tab w:val="left" w:pos="3686"/>
        </w:tabs>
        <w:suppressAutoHyphens/>
        <w:spacing w:after="120" w:line="360" w:lineRule="auto"/>
        <w:rPr>
          <w:rFonts w:ascii="Calibri" w:hAnsi="Calibri"/>
          <w:lang w:eastAsia="ar-SA"/>
        </w:rPr>
      </w:pPr>
      <w:r w:rsidRPr="00F42EF2">
        <w:rPr>
          <w:rFonts w:ascii="Calibri" w:eastAsia="Calibri" w:hAnsi="Calibri"/>
          <w:lang w:eastAsia="ar-SA"/>
        </w:rPr>
        <w:t xml:space="preserve">Fanno parte del Consorzio i n.76 Comuni facenti parte del territorio della Provincia del Verbano Cusio Ossola che, posta </w:t>
      </w:r>
      <w:r w:rsidRPr="00F42EF2">
        <w:rPr>
          <w:rFonts w:ascii="Calibri" w:hAnsi="Calibri"/>
          <w:lang w:eastAsia="ar-SA"/>
        </w:rPr>
        <w:t>all’estremo nord del Piemonte con una superficie di 2.255,38 km pari al 8,96 % del territorio regionale, si rappresenta come quarta Provincia del Piemonte per estensione.</w:t>
      </w:r>
    </w:p>
    <w:p w:rsidR="00962AC5" w:rsidRPr="00F42EF2" w:rsidRDefault="00962AC5" w:rsidP="00962AC5">
      <w:pPr>
        <w:widowControl w:val="0"/>
        <w:tabs>
          <w:tab w:val="left" w:pos="3686"/>
        </w:tabs>
        <w:suppressAutoHyphens/>
        <w:spacing w:after="120" w:line="360" w:lineRule="auto"/>
        <w:rPr>
          <w:rFonts w:ascii="Calibri" w:eastAsia="Calibri" w:hAnsi="Calibri"/>
          <w:lang w:eastAsia="ar-SA"/>
        </w:rPr>
      </w:pPr>
      <w:r w:rsidRPr="00F42EF2">
        <w:rPr>
          <w:rFonts w:ascii="Calibri" w:hAnsi="Calibri"/>
          <w:lang w:eastAsia="ar-SA"/>
        </w:rPr>
        <w:t xml:space="preserve">I Comuni consorziati sono i seguenti: </w:t>
      </w:r>
    </w:p>
    <w:p w:rsidR="00962AC5" w:rsidRPr="00F42EF2" w:rsidRDefault="00962AC5" w:rsidP="00962AC5">
      <w:pPr>
        <w:widowControl w:val="0"/>
        <w:suppressAutoHyphens/>
        <w:spacing w:after="120" w:line="360" w:lineRule="auto"/>
        <w:rPr>
          <w:rFonts w:ascii="Calibri" w:hAnsi="Calibri"/>
          <w:i/>
          <w:lang w:eastAsia="ar-SA"/>
        </w:rPr>
      </w:pPr>
      <w:r w:rsidRPr="00F42EF2">
        <w:rPr>
          <w:rFonts w:ascii="Calibri" w:hAnsi="Calibri"/>
          <w:i/>
          <w:lang w:eastAsia="ar-SA"/>
        </w:rPr>
        <w:t xml:space="preserve">Antrona Schieranco, Anzola d'Ossola Arizzano, Arola, Aurano, Baceno, Bannio Anzino, Baveno, Bee’, Belgirate, Beura Cardezza, Bognanco, Borgomezzavalle, Brovello Carpugnino, Calasca Castiglione, Cambiasca, Cannero Riviera, Cannobio, Caprezzo, Casale Corte Cerro, Cavaglio Spoccia, Ceppo Morelli, Cesara, Cossogno, Craveggia, Cursolo Orasso, Crodo, Crevoladossola, Domodossola, Druogno, Falmenta, Formazza, Germagno, Ghiffa , Gignese, Gravellona Toce, Gurro, Intragna, Loreglia, Macugnaga, Madonna del Sasso, Malesco, Masera, Massiola, Mergozzo, Miazzina, Montecrestese, Montescheno, Nonio, Oggebbio, Omegna, Ornavasso, Pallanzeno, Piedimulera, Pieve Vergonte, Premeno, Premia, Premosello Chiovenda, Quarna Sopra, Quarna Sotto, Re, San Bernardino Verbano, Santa Maria Maggiore,, Stresa, Toceno, Trarego Viggiona, Trasquera, Trontano, Valstrona, Vanzone con San Carlo, Varzo, Verbania, Vignone, Villadossola , Villette e Vogogna, </w:t>
      </w:r>
      <w:r w:rsidRPr="00F42EF2">
        <w:rPr>
          <w:rFonts w:ascii="Calibri" w:hAnsi="Calibri"/>
          <w:lang w:eastAsia="ar-SA"/>
        </w:rPr>
        <w:t>per una  popolazione di circa 160.000 abitanti residenti.</w:t>
      </w:r>
    </w:p>
    <w:p w:rsidR="00962AC5" w:rsidRPr="00F42EF2" w:rsidRDefault="00962AC5" w:rsidP="00962AC5">
      <w:pPr>
        <w:widowControl w:val="0"/>
        <w:suppressAutoHyphens/>
        <w:spacing w:after="120" w:line="360" w:lineRule="auto"/>
        <w:rPr>
          <w:rFonts w:ascii="Calibri" w:hAnsi="Calibri"/>
          <w:lang w:eastAsia="ar-SA"/>
        </w:rPr>
      </w:pPr>
      <w:r w:rsidRPr="00F42EF2">
        <w:rPr>
          <w:rFonts w:ascii="Calibri" w:hAnsi="Calibri"/>
          <w:lang w:eastAsia="ar-SA"/>
        </w:rPr>
        <w:t xml:space="preserve">Il Comune con maggiore popolazione è Verbania con 30.332 residenti, mentre il più piccolo Aurano con 103. </w:t>
      </w:r>
    </w:p>
    <w:p w:rsidR="00962AC5" w:rsidRPr="00F42EF2" w:rsidRDefault="00962AC5" w:rsidP="00962AC5">
      <w:pPr>
        <w:widowControl w:val="0"/>
        <w:tabs>
          <w:tab w:val="left" w:pos="3686"/>
        </w:tabs>
        <w:suppressAutoHyphens/>
        <w:spacing w:after="120" w:line="360" w:lineRule="auto"/>
        <w:rPr>
          <w:rFonts w:ascii="Calibri" w:eastAsia="Calibri" w:hAnsi="Calibri"/>
          <w:lang w:eastAsia="ar-SA"/>
        </w:rPr>
      </w:pPr>
      <w:r w:rsidRPr="00F42EF2">
        <w:rPr>
          <w:rFonts w:ascii="Calibri" w:hAnsi="Calibri"/>
          <w:lang w:eastAsia="ar-SA"/>
        </w:rPr>
        <w:t>Il territorio provinciale è caratterizzato da un’accentuata connotazione pedemontana</w:t>
      </w:r>
      <w:r w:rsidRPr="00F42EF2">
        <w:rPr>
          <w:rFonts w:ascii="Calibri" w:eastAsia="Calibri" w:hAnsi="Calibri"/>
          <w:lang w:eastAsia="ar-SA"/>
        </w:rPr>
        <w:t xml:space="preserve"> </w:t>
      </w:r>
      <w:r w:rsidRPr="00F42EF2">
        <w:rPr>
          <w:rFonts w:ascii="Calibri" w:hAnsi="Calibri"/>
          <w:lang w:eastAsia="ar-SA"/>
        </w:rPr>
        <w:t>e montana</w:t>
      </w:r>
      <w:r w:rsidRPr="00F42EF2">
        <w:rPr>
          <w:rFonts w:ascii="Calibri" w:eastAsia="Calibri" w:hAnsi="Calibri"/>
          <w:lang w:eastAsia="ar-SA"/>
        </w:rPr>
        <w:t xml:space="preserve"> (Valle Antigorio, Valle Antrona , Valle Anzasca, Valle Bognanco, Valle Cairasca, Valle Cannobina, Valle Divedro, Valle Formazza, Valle Ossola, Valle Strona, Valle Vigezzo)</w:t>
      </w:r>
      <w:r w:rsidRPr="00F42EF2">
        <w:rPr>
          <w:rFonts w:ascii="Calibri" w:hAnsi="Calibri"/>
          <w:lang w:eastAsia="ar-SA"/>
        </w:rPr>
        <w:t xml:space="preserve">, integrata dalla presenza lacustre </w:t>
      </w:r>
      <w:r w:rsidRPr="00F42EF2">
        <w:rPr>
          <w:rFonts w:ascii="Calibri" w:eastAsia="Calibri" w:hAnsi="Calibri"/>
          <w:lang w:eastAsia="ar-SA"/>
        </w:rPr>
        <w:t xml:space="preserve">rappresentata dal </w:t>
      </w:r>
      <w:r w:rsidRPr="00F42EF2">
        <w:rPr>
          <w:rFonts w:ascii="Calibri" w:hAnsi="Calibri"/>
          <w:lang w:eastAsia="ar-SA"/>
        </w:rPr>
        <w:t>Lago Maggiore, d’Orta e di Mergozzo</w:t>
      </w:r>
      <w:r w:rsidRPr="00F42EF2">
        <w:rPr>
          <w:rFonts w:ascii="Calibri" w:eastAsia="Calibri" w:hAnsi="Calibri"/>
          <w:lang w:eastAsia="ar-SA"/>
        </w:rPr>
        <w:t>; a nord il territorio dei Comuni confina con la Confederazione Elvetica, a est con il Lago Maggiore ad ovest con la Val Sesia a sud con la Provincia di Novara.</w:t>
      </w:r>
    </w:p>
    <w:p w:rsidR="00962AC5" w:rsidRPr="00F42EF2" w:rsidRDefault="00962AC5" w:rsidP="00962AC5">
      <w:pPr>
        <w:widowControl w:val="0"/>
        <w:tabs>
          <w:tab w:val="left" w:pos="3686"/>
        </w:tabs>
        <w:suppressAutoHyphens/>
        <w:spacing w:after="120" w:line="360" w:lineRule="auto"/>
        <w:rPr>
          <w:rFonts w:ascii="Calibri" w:hAnsi="Calibri"/>
          <w:lang w:eastAsia="ar-SA"/>
        </w:rPr>
      </w:pPr>
      <w:r w:rsidRPr="00F42EF2">
        <w:rPr>
          <w:rFonts w:ascii="Calibri" w:hAnsi="Calibri"/>
          <w:lang w:eastAsia="ar-SA"/>
        </w:rPr>
        <w:t>L’ambito Provinciale ha una genesi amministrativa piuttosto recente, pertanto la sua configurazione attuale deriva dall’aggregazione di aree precedentemente ricadenti nella Provincia di Novara; all’interno del territorio è comunque possibile distinguere tre macroaree da cui deriva l’etimologia stessa del nome della Provincia ovvero Verbano – Cusio – Ossola.</w:t>
      </w:r>
    </w:p>
    <w:p w:rsidR="00962AC5" w:rsidRPr="00F42EF2" w:rsidRDefault="00962AC5" w:rsidP="00962AC5">
      <w:pPr>
        <w:widowControl w:val="0"/>
        <w:suppressAutoHyphens/>
        <w:spacing w:after="120" w:line="360" w:lineRule="auto"/>
        <w:rPr>
          <w:rFonts w:ascii="Calibri" w:eastAsia="Times New Roman" w:hAnsi="Calibri" w:cs="Times New Roman"/>
          <w:lang w:eastAsia="ar-SA"/>
        </w:rPr>
      </w:pPr>
      <w:r w:rsidRPr="00F42EF2">
        <w:rPr>
          <w:rFonts w:ascii="Calibri" w:eastAsia="Calibri" w:hAnsi="Calibri" w:cs="Times New Roman"/>
          <w:lang w:eastAsia="ar-SA"/>
        </w:rPr>
        <w:t>Sono tradizionalmente considerati ossolani 38 Comuni, verbanesi 26 Comuni e cusiani 13; il 42,5% della popolazione risiede nella prima area, il 38% nella seconda e il 19,5% nella terza. Il 27% degli ossolani risiede a Domodossola, mentre la metà</w:t>
      </w:r>
      <w:r w:rsidRPr="00F42EF2">
        <w:rPr>
          <w:rFonts w:ascii="Calibri" w:eastAsia="Times New Roman" w:hAnsi="Calibri" w:cs="Times New Roman"/>
          <w:lang w:eastAsia="ar-SA"/>
        </w:rPr>
        <w:t xml:space="preserve"> circa dei verbanesi e dei cusiani si concentra a Verbania e ad Omegna.</w:t>
      </w:r>
    </w:p>
    <w:p w:rsidR="00962AC5" w:rsidRPr="00F42EF2" w:rsidRDefault="00962AC5" w:rsidP="00962AC5">
      <w:pPr>
        <w:widowControl w:val="0"/>
        <w:suppressAutoHyphens/>
        <w:spacing w:after="120" w:line="360" w:lineRule="auto"/>
        <w:rPr>
          <w:rFonts w:ascii="Calibri" w:eastAsia="Times New Roman" w:hAnsi="Calibri" w:cs="Times New Roman"/>
          <w:lang w:eastAsia="ar-SA"/>
        </w:rPr>
      </w:pPr>
      <w:r w:rsidRPr="00F42EF2">
        <w:rPr>
          <w:rFonts w:ascii="Calibri" w:eastAsia="Times New Roman" w:hAnsi="Calibri" w:cs="Times New Roman"/>
          <w:lang w:eastAsia="ar-SA"/>
        </w:rPr>
        <w:t xml:space="preserve">Se consideriamo la sola estensione territoriale, la situazione appare un po’ diversa. Il Verbano Cusio Ossola, </w:t>
      </w:r>
      <w:r w:rsidRPr="00F42EF2">
        <w:rPr>
          <w:rFonts w:ascii="Calibri" w:eastAsia="Times New Roman" w:hAnsi="Calibri" w:cs="Times New Roman"/>
          <w:lang w:eastAsia="ar-SA"/>
        </w:rPr>
        <w:lastRenderedPageBreak/>
        <w:t>grazie anche all’ampiezza delle aree montane, presenta un’estensione media comunale di 29,3 kmq (l’Ossola di 42,3 kmq, il Cusio di 18,1 kmq, il Verbano di 15,8 kmq).</w:t>
      </w:r>
    </w:p>
    <w:p w:rsidR="00962AC5" w:rsidRPr="00F42EF2" w:rsidRDefault="00962AC5" w:rsidP="00962AC5">
      <w:pPr>
        <w:widowControl w:val="0"/>
        <w:suppressAutoHyphens/>
        <w:spacing w:after="120" w:line="360" w:lineRule="auto"/>
        <w:rPr>
          <w:rFonts w:ascii="Calibri" w:eastAsia="Times New Roman" w:hAnsi="Calibri" w:cs="Times New Roman"/>
          <w:lang w:eastAsia="ar-SA"/>
        </w:rPr>
      </w:pPr>
      <w:r w:rsidRPr="00F42EF2">
        <w:rPr>
          <w:rFonts w:ascii="Calibri" w:eastAsia="Times New Roman" w:hAnsi="Calibri" w:cs="Times New Roman"/>
          <w:lang w:eastAsia="ar-SA"/>
        </w:rPr>
        <w:t>Riguardo il profilo imprenditoriale della Provincia del V.C.O., poco più del 27% delle imprese esplicano la loro attività nel settore commerciale a cui fanno seguito i settori delle costruzioni, 18,6%, e delle attività manifatturiere, 17,1%.</w:t>
      </w:r>
    </w:p>
    <w:p w:rsidR="00962AC5" w:rsidRPr="00F42EF2" w:rsidRDefault="00962AC5" w:rsidP="00962AC5">
      <w:pPr>
        <w:spacing w:line="360" w:lineRule="auto"/>
        <w:rPr>
          <w:rFonts w:ascii="Calibri" w:hAnsi="Calibri"/>
        </w:rPr>
      </w:pPr>
    </w:p>
    <w:p w:rsidR="00962AC5" w:rsidRPr="00F42EF2" w:rsidRDefault="00962AC5" w:rsidP="00962AC5"/>
    <w:p w:rsidR="00962AC5" w:rsidRPr="00F42EF2" w:rsidRDefault="00962AC5" w:rsidP="00962AC5"/>
    <w:p w:rsidR="00962AC5" w:rsidRPr="00F42EF2" w:rsidRDefault="00962AC5" w:rsidP="00962AC5">
      <w:pPr>
        <w:sectPr w:rsidR="00962AC5" w:rsidRPr="00F42EF2" w:rsidSect="002D5C4B">
          <w:pgSz w:w="11906" w:h="16838" w:code="9"/>
          <w:pgMar w:top="1418" w:right="1134" w:bottom="1134" w:left="1134" w:header="709" w:footer="709" w:gutter="0"/>
          <w:cols w:space="708"/>
          <w:docGrid w:linePitch="360"/>
        </w:sectPr>
      </w:pPr>
    </w:p>
    <w:p w:rsidR="007C7805" w:rsidRDefault="00FD7BFD" w:rsidP="00FD7BFD">
      <w:pPr>
        <w:pStyle w:val="Titolo2"/>
      </w:pPr>
      <w:bookmarkStart w:id="9" w:name="_Toc496177133"/>
      <w:bookmarkEnd w:id="8"/>
      <w:r w:rsidRPr="00FD7BFD">
        <w:lastRenderedPageBreak/>
        <w:t>Quadro delle condizioni interne dell’Ente</w:t>
      </w:r>
      <w:bookmarkEnd w:id="9"/>
    </w:p>
    <w:p w:rsidR="00895D3F" w:rsidRPr="00895D3F" w:rsidRDefault="00895D3F" w:rsidP="00895D3F"/>
    <w:p w:rsidR="00895D3F" w:rsidRDefault="00895D3F" w:rsidP="00895D3F">
      <w:pPr>
        <w:sectPr w:rsidR="00895D3F" w:rsidSect="00FD7BFD">
          <w:pgSz w:w="11906" w:h="16838"/>
          <w:pgMar w:top="1418" w:right="1134" w:bottom="1134" w:left="1134" w:header="709" w:footer="709" w:gutter="0"/>
          <w:cols w:space="708"/>
          <w:vAlign w:val="center"/>
          <w:docGrid w:linePitch="360"/>
        </w:sectPr>
      </w:pPr>
    </w:p>
    <w:p w:rsidR="00A802C4" w:rsidRPr="00F42EF2" w:rsidRDefault="00A802C4" w:rsidP="00A802C4">
      <w:pPr>
        <w:keepNext/>
        <w:keepLines/>
        <w:numPr>
          <w:ilvl w:val="2"/>
          <w:numId w:val="1"/>
        </w:numPr>
        <w:spacing w:before="200" w:after="0"/>
        <w:outlineLvl w:val="2"/>
        <w:rPr>
          <w:rFonts w:asciiTheme="majorHAnsi" w:eastAsiaTheme="majorEastAsia" w:hAnsiTheme="majorHAnsi" w:cstheme="majorBidi"/>
          <w:b/>
          <w:bCs/>
          <w:sz w:val="32"/>
          <w:szCs w:val="32"/>
        </w:rPr>
      </w:pPr>
      <w:r w:rsidRPr="00F42EF2">
        <w:rPr>
          <w:rFonts w:asciiTheme="majorHAnsi" w:eastAsiaTheme="majorEastAsia" w:hAnsiTheme="majorHAnsi" w:cstheme="majorBidi"/>
          <w:b/>
          <w:bCs/>
          <w:sz w:val="32"/>
          <w:szCs w:val="32"/>
        </w:rPr>
        <w:lastRenderedPageBreak/>
        <w:t>Natura dell’Ente</w:t>
      </w:r>
    </w:p>
    <w:p w:rsidR="00A802C4" w:rsidRPr="00F42EF2" w:rsidRDefault="00A802C4" w:rsidP="00A802C4"/>
    <w:p w:rsidR="00A802C4" w:rsidRPr="00F42EF2" w:rsidRDefault="00A802C4" w:rsidP="00A802C4">
      <w:pPr>
        <w:spacing w:line="360" w:lineRule="auto"/>
        <w:rPr>
          <w:rFonts w:ascii="Calibri" w:hAnsi="Calibri"/>
        </w:rPr>
      </w:pPr>
      <w:r w:rsidRPr="00F42EF2">
        <w:rPr>
          <w:rFonts w:ascii="Calibri" w:hAnsi="Calibri"/>
        </w:rPr>
        <w:t xml:space="preserve">Questo  Ente è </w:t>
      </w:r>
      <w:r w:rsidRPr="00F42EF2">
        <w:rPr>
          <w:rFonts w:ascii="Calibri" w:hAnsi="Calibri"/>
          <w:u w:val="single"/>
        </w:rPr>
        <w:t>un consorzio obbligatorio di funzioni di comuni</w:t>
      </w:r>
      <w:r w:rsidRPr="00F42EF2">
        <w:rPr>
          <w:rFonts w:ascii="Calibri" w:hAnsi="Calibri"/>
        </w:rPr>
        <w:t xml:space="preserve">, che si è costituito in data 12/04/2010 per effetto della fusione del Consorzio Servizi Verbano Cusio Ossola – Consorzio Obbligatorio Unico di Bacino “COB di VERBANIA”, del Consorzio Obbligatorio Unico di Bacino Valle Ossola, “COB VALLE OSSOLA” e del Consorzio - Associazione di Ambito Territoriale Ottimale del Verbano Cusio Ossola “ATO VCO”, secondo le disposizioni previste dall’art. 31 del vigente T.U. sull’Ordinamento degli Enti Locali e smi, e dall’art. 12 comma 5 della Legge Regionale n. 24/2002 e smi, tra i comuni n. 77 Comuni facenti parte dell’intero bacino del VCO e per le relative quote di partecipazione, per la gestione dei rifiuti.    </w:t>
      </w:r>
    </w:p>
    <w:p w:rsidR="00A802C4" w:rsidRPr="00F42EF2" w:rsidRDefault="00A802C4" w:rsidP="00A802C4">
      <w:pPr>
        <w:widowControl w:val="0"/>
        <w:suppressAutoHyphens/>
        <w:spacing w:after="120" w:line="360" w:lineRule="auto"/>
        <w:rPr>
          <w:rFonts w:ascii="Calibri" w:eastAsia="Times New Roman" w:hAnsi="Calibri" w:cs="Times New Roman"/>
          <w:lang w:eastAsia="ar-SA"/>
        </w:rPr>
      </w:pPr>
      <w:r w:rsidRPr="00F42EF2">
        <w:rPr>
          <w:rFonts w:ascii="Calibri" w:eastAsia="Times New Roman" w:hAnsi="Calibri" w:cs="Times New Roman"/>
          <w:lang w:eastAsia="ar-SA"/>
        </w:rPr>
        <w:t>Per sua natura il Consorzio svolge esclusivamente funzioni amministrative, e non gestisce pertanto attività aventi rilevanza economica e imprenditoriale, per il quale trovano applicazione, in quanto compatibili, le norme previste per gli Enti Locali in forza del combinato disposto dell’art. 31 comma 8 e dell’art. 140 del vigente T.U. Enti Locali approvato con il D.Lgs.n. 267/2000.</w:t>
      </w:r>
    </w:p>
    <w:p w:rsidR="00A802C4" w:rsidRPr="00F42EF2" w:rsidRDefault="00A802C4" w:rsidP="00A802C4">
      <w:pPr>
        <w:widowControl w:val="0"/>
        <w:tabs>
          <w:tab w:val="left" w:pos="3686"/>
        </w:tabs>
        <w:suppressAutoHyphens/>
        <w:spacing w:after="120" w:line="360" w:lineRule="auto"/>
        <w:rPr>
          <w:rFonts w:ascii="Calibri" w:eastAsia="Calibri" w:hAnsi="Calibri"/>
          <w:lang w:eastAsia="ar-SA"/>
        </w:rPr>
      </w:pPr>
      <w:r w:rsidRPr="00F42EF2">
        <w:rPr>
          <w:rFonts w:ascii="Calibri" w:eastAsia="Calibri" w:hAnsi="Calibri"/>
          <w:lang w:eastAsia="ar-SA"/>
        </w:rPr>
        <w:t>Più precisamente esercita le funzioni di governo e coordinamento dell’organizzazione dei servizi di bacino e assicura la gestione unitaria dei rifiuti urbani nella fase di raccolta, avvio a recupero e smaltimento.</w:t>
      </w:r>
    </w:p>
    <w:p w:rsidR="00A802C4" w:rsidRPr="00F42EF2" w:rsidRDefault="00A802C4" w:rsidP="00A802C4">
      <w:pPr>
        <w:spacing w:line="360" w:lineRule="auto"/>
        <w:rPr>
          <w:rFonts w:ascii="Calibri" w:hAnsi="Calibri"/>
        </w:rPr>
      </w:pPr>
      <w:r w:rsidRPr="00F42EF2">
        <w:rPr>
          <w:rFonts w:ascii="Calibri" w:hAnsi="Calibri"/>
        </w:rPr>
        <w:t xml:space="preserve">Per le considerazioni sopra esposte, questo Ente, ai sensi degli art. 9 – 10 – 11 della Legge Regionale n. 24/2002, riveste </w:t>
      </w:r>
      <w:r w:rsidRPr="00F42EF2">
        <w:rPr>
          <w:rFonts w:ascii="Calibri" w:hAnsi="Calibri"/>
          <w:u w:val="single"/>
        </w:rPr>
        <w:t>un doppio ruolo di consorzio di bacino e ambito territoriale ottimale per la gestione integrata dei rifiuti</w:t>
      </w:r>
      <w:r w:rsidRPr="00F42EF2">
        <w:rPr>
          <w:rFonts w:ascii="Calibri" w:hAnsi="Calibri"/>
        </w:rPr>
        <w:t xml:space="preserve">;     </w:t>
      </w:r>
    </w:p>
    <w:p w:rsidR="00A802C4" w:rsidRPr="00F42EF2" w:rsidRDefault="00A802C4" w:rsidP="00A802C4"/>
    <w:p w:rsidR="00A802C4" w:rsidRPr="00F42EF2" w:rsidRDefault="00A802C4" w:rsidP="00A802C4"/>
    <w:p w:rsidR="00A802C4" w:rsidRDefault="00A802C4" w:rsidP="00A802C4"/>
    <w:p w:rsidR="00A802C4" w:rsidRDefault="00A802C4" w:rsidP="00A802C4"/>
    <w:p w:rsidR="00A802C4" w:rsidRDefault="00A802C4" w:rsidP="00A802C4"/>
    <w:p w:rsidR="00A802C4" w:rsidRDefault="00A802C4" w:rsidP="00A802C4"/>
    <w:p w:rsidR="00A802C4" w:rsidRDefault="00A802C4" w:rsidP="00A802C4"/>
    <w:p w:rsidR="00A802C4" w:rsidRDefault="00A802C4" w:rsidP="00A802C4"/>
    <w:p w:rsidR="00A802C4" w:rsidRDefault="00A802C4" w:rsidP="00A802C4"/>
    <w:p w:rsidR="00A802C4" w:rsidRPr="00F42EF2" w:rsidRDefault="00A802C4" w:rsidP="00A802C4"/>
    <w:p w:rsidR="00A802C4" w:rsidRPr="00F42EF2" w:rsidRDefault="00A802C4" w:rsidP="00A802C4"/>
    <w:p w:rsidR="00A802C4" w:rsidRPr="00F42EF2" w:rsidRDefault="00A802C4" w:rsidP="00A802C4">
      <w:pPr>
        <w:keepNext/>
        <w:keepLines/>
        <w:numPr>
          <w:ilvl w:val="2"/>
          <w:numId w:val="1"/>
        </w:numPr>
        <w:spacing w:before="200" w:after="0"/>
        <w:outlineLvl w:val="2"/>
        <w:rPr>
          <w:rFonts w:asciiTheme="majorHAnsi" w:eastAsiaTheme="majorEastAsia" w:hAnsiTheme="majorHAnsi" w:cstheme="majorBidi"/>
          <w:b/>
          <w:bCs/>
          <w:sz w:val="32"/>
          <w:szCs w:val="32"/>
        </w:rPr>
      </w:pPr>
      <w:r w:rsidRPr="00F42EF2">
        <w:rPr>
          <w:rFonts w:asciiTheme="majorHAnsi" w:eastAsiaTheme="majorEastAsia" w:hAnsiTheme="majorHAnsi" w:cstheme="majorBidi"/>
          <w:b/>
          <w:bCs/>
          <w:sz w:val="32"/>
          <w:szCs w:val="32"/>
        </w:rPr>
        <w:lastRenderedPageBreak/>
        <w:t>Le risorse umane disponibili</w:t>
      </w:r>
    </w:p>
    <w:p w:rsidR="00A802C4" w:rsidRPr="00F42EF2" w:rsidRDefault="00A802C4" w:rsidP="00A802C4">
      <w:pPr>
        <w:widowControl w:val="0"/>
        <w:tabs>
          <w:tab w:val="left" w:pos="3686"/>
        </w:tabs>
        <w:suppressAutoHyphens/>
        <w:spacing w:after="120" w:line="360" w:lineRule="auto"/>
      </w:pPr>
    </w:p>
    <w:p w:rsidR="00A802C4" w:rsidRPr="00F42EF2" w:rsidRDefault="00A802C4" w:rsidP="00A802C4">
      <w:pPr>
        <w:widowControl w:val="0"/>
        <w:tabs>
          <w:tab w:val="left" w:pos="3686"/>
        </w:tabs>
        <w:suppressAutoHyphens/>
        <w:spacing w:after="120" w:line="360" w:lineRule="auto"/>
        <w:rPr>
          <w:rFonts w:ascii="Calibri" w:eastAsia="Calibri" w:hAnsi="Calibri"/>
          <w:lang w:eastAsia="ar-SA"/>
        </w:rPr>
      </w:pPr>
      <w:r w:rsidRPr="00F42EF2">
        <w:rPr>
          <w:rFonts w:ascii="Calibri" w:eastAsia="Calibri" w:hAnsi="Calibri"/>
          <w:lang w:eastAsia="ar-SA"/>
        </w:rPr>
        <w:t>In considerazione degli obiettivi e finalità che il Consorzio deve realizzare, si è creata una struttura organizzativa di base.</w:t>
      </w:r>
    </w:p>
    <w:p w:rsidR="00A802C4" w:rsidRPr="00F42EF2" w:rsidRDefault="00A802C4" w:rsidP="00A802C4">
      <w:pPr>
        <w:widowControl w:val="0"/>
        <w:suppressAutoHyphens/>
        <w:spacing w:after="120" w:line="360" w:lineRule="auto"/>
        <w:rPr>
          <w:rFonts w:ascii="Calibri" w:hAnsi="Calibri"/>
          <w:lang w:eastAsia="ar-SA"/>
        </w:rPr>
      </w:pPr>
      <w:r w:rsidRPr="00F42EF2">
        <w:rPr>
          <w:rFonts w:ascii="Calibri" w:hAnsi="Calibri"/>
          <w:lang w:eastAsia="ar-SA"/>
        </w:rPr>
        <w:t>E’ previsto, in ossequio al vigente statuto, un organo Assembleare Consortile costituito dai Sindaci dei Comuni consorziati, o loro delegati, e un Consiglio di Amministrazione composto da 5 componenti e da un Segretario dell’Ente.</w:t>
      </w:r>
    </w:p>
    <w:p w:rsidR="00A802C4" w:rsidRPr="00F42EF2" w:rsidRDefault="00A802C4" w:rsidP="00A802C4">
      <w:pPr>
        <w:widowControl w:val="0"/>
        <w:suppressAutoHyphens/>
        <w:spacing w:after="120" w:line="360" w:lineRule="auto"/>
        <w:rPr>
          <w:rFonts w:ascii="Calibri" w:hAnsi="Calibri"/>
          <w:lang w:eastAsia="ar-SA"/>
        </w:rPr>
      </w:pPr>
      <w:r w:rsidRPr="00F42EF2">
        <w:rPr>
          <w:rFonts w:ascii="Calibri" w:hAnsi="Calibri"/>
          <w:lang w:eastAsia="ar-SA"/>
        </w:rPr>
        <w:t>Con la costituzione del nuovo Ente consortile, avvenuta nel 2010, sono transitati nel ruolo organico dello stesso i dipendente a tempo indeterminato dei preesistente Consorzi (Cob di Verbania e Cob Valle Ossola).</w:t>
      </w:r>
    </w:p>
    <w:p w:rsidR="00A802C4" w:rsidRPr="00F42EF2" w:rsidRDefault="00A802C4" w:rsidP="00A802C4">
      <w:pPr>
        <w:widowControl w:val="0"/>
        <w:suppressAutoHyphens/>
        <w:spacing w:after="120" w:line="360" w:lineRule="auto"/>
        <w:rPr>
          <w:rFonts w:ascii="Calibri" w:hAnsi="Calibri"/>
          <w:lang w:eastAsia="ar-SA"/>
        </w:rPr>
      </w:pPr>
      <w:r w:rsidRPr="00F42EF2">
        <w:rPr>
          <w:rFonts w:ascii="Calibri" w:hAnsi="Calibri"/>
          <w:lang w:eastAsia="ar-SA"/>
        </w:rPr>
        <w:t xml:space="preserve">In  particolare il personale è così composto: </w:t>
      </w:r>
    </w:p>
    <w:p w:rsidR="00A802C4" w:rsidRPr="00F42EF2" w:rsidRDefault="00A802C4" w:rsidP="00A802C4">
      <w:pPr>
        <w:widowControl w:val="0"/>
        <w:suppressAutoHyphens/>
        <w:spacing w:line="360" w:lineRule="auto"/>
        <w:rPr>
          <w:rFonts w:ascii="Calibri" w:hAnsi="Calibri"/>
          <w:i/>
          <w:lang w:eastAsia="ar-SA"/>
        </w:rPr>
      </w:pPr>
      <w:r w:rsidRPr="00F42EF2">
        <w:rPr>
          <w:rFonts w:ascii="Calibri" w:hAnsi="Calibri"/>
          <w:i/>
          <w:lang w:eastAsia="ar-SA"/>
        </w:rPr>
        <w:t>A) Personale a tempo indeterminato proveniente dal Cob di Verbania:</w:t>
      </w:r>
    </w:p>
    <w:p w:rsidR="00A802C4" w:rsidRPr="00F42EF2" w:rsidRDefault="00A802C4" w:rsidP="007C7A4A">
      <w:pPr>
        <w:numPr>
          <w:ilvl w:val="0"/>
          <w:numId w:val="5"/>
        </w:numPr>
        <w:suppressAutoHyphens/>
        <w:spacing w:after="120" w:line="360" w:lineRule="auto"/>
        <w:rPr>
          <w:rFonts w:ascii="Calibri" w:eastAsia="Calibri" w:hAnsi="Calibri"/>
          <w:i/>
          <w:lang w:eastAsia="ar-SA"/>
        </w:rPr>
      </w:pPr>
      <w:r w:rsidRPr="00F42EF2">
        <w:rPr>
          <w:rFonts w:ascii="Calibri" w:eastAsia="Calibri" w:hAnsi="Calibri"/>
          <w:i/>
          <w:lang w:eastAsia="ar-SA"/>
        </w:rPr>
        <w:t>n.1  istruttore direttivo tecnico - cat. D  del CCNL Regione Autonomie Locali;</w:t>
      </w:r>
    </w:p>
    <w:p w:rsidR="00A802C4" w:rsidRPr="00F42EF2" w:rsidRDefault="00A802C4" w:rsidP="007C7A4A">
      <w:pPr>
        <w:numPr>
          <w:ilvl w:val="0"/>
          <w:numId w:val="5"/>
        </w:numPr>
        <w:suppressAutoHyphens/>
        <w:spacing w:after="120" w:line="360" w:lineRule="auto"/>
        <w:rPr>
          <w:rFonts w:ascii="Calibri" w:eastAsia="Calibri" w:hAnsi="Calibri"/>
          <w:i/>
          <w:lang w:eastAsia="ar-SA"/>
        </w:rPr>
      </w:pPr>
      <w:r w:rsidRPr="00F42EF2">
        <w:rPr>
          <w:rFonts w:ascii="Calibri" w:eastAsia="Calibri" w:hAnsi="Calibri"/>
          <w:i/>
          <w:lang w:eastAsia="ar-SA"/>
        </w:rPr>
        <w:t>n.1  istruttore direttivo contabile - cat D del CCNL Regione Autonomie Locali;</w:t>
      </w:r>
    </w:p>
    <w:p w:rsidR="00A802C4" w:rsidRPr="00F42EF2" w:rsidRDefault="00A802C4" w:rsidP="007C7A4A">
      <w:pPr>
        <w:numPr>
          <w:ilvl w:val="0"/>
          <w:numId w:val="5"/>
        </w:numPr>
        <w:suppressAutoHyphens/>
        <w:spacing w:after="120" w:line="360" w:lineRule="auto"/>
        <w:rPr>
          <w:rFonts w:ascii="Calibri" w:eastAsia="Calibri" w:hAnsi="Calibri"/>
          <w:i/>
          <w:lang w:eastAsia="ar-SA"/>
        </w:rPr>
      </w:pPr>
      <w:r w:rsidRPr="00F42EF2">
        <w:rPr>
          <w:rFonts w:ascii="Calibri" w:eastAsia="Calibri" w:hAnsi="Calibri"/>
          <w:i/>
          <w:lang w:eastAsia="ar-SA"/>
        </w:rPr>
        <w:t>n.1  istruttore amministrativo - cat C del CCNL Regione Autonomie Locali;</w:t>
      </w:r>
    </w:p>
    <w:p w:rsidR="00A802C4" w:rsidRPr="00F42EF2" w:rsidRDefault="00A802C4" w:rsidP="00A802C4">
      <w:pPr>
        <w:suppressAutoHyphens/>
        <w:spacing w:after="120" w:line="360" w:lineRule="auto"/>
        <w:rPr>
          <w:rFonts w:ascii="Calibri" w:eastAsia="Calibri" w:hAnsi="Calibri"/>
          <w:bCs/>
          <w:i/>
          <w:lang w:eastAsia="ar-SA"/>
        </w:rPr>
      </w:pPr>
      <w:r w:rsidRPr="00F42EF2">
        <w:rPr>
          <w:rFonts w:ascii="Calibri" w:eastAsia="Calibri" w:hAnsi="Calibri"/>
          <w:bCs/>
          <w:i/>
          <w:lang w:eastAsia="ar-SA"/>
        </w:rPr>
        <w:t>B) Personale a tempo indeterminato proveniente dal Cob Valle Ossola.</w:t>
      </w:r>
    </w:p>
    <w:p w:rsidR="00A802C4" w:rsidRPr="00F42EF2" w:rsidRDefault="00A802C4" w:rsidP="007C7A4A">
      <w:pPr>
        <w:numPr>
          <w:ilvl w:val="0"/>
          <w:numId w:val="5"/>
        </w:numPr>
        <w:suppressAutoHyphens/>
        <w:spacing w:after="120" w:line="360" w:lineRule="auto"/>
        <w:rPr>
          <w:rFonts w:ascii="Calibri" w:eastAsia="Calibri" w:hAnsi="Calibri"/>
          <w:i/>
          <w:lang w:eastAsia="ar-SA"/>
        </w:rPr>
      </w:pPr>
      <w:r w:rsidRPr="00F42EF2">
        <w:rPr>
          <w:rFonts w:ascii="Calibri" w:eastAsia="Calibri" w:hAnsi="Calibri"/>
          <w:i/>
          <w:lang w:eastAsia="ar-SA"/>
        </w:rPr>
        <w:t>n.1 dirigente - CCNL dei Dirigenti Regioni Autonomie locali.</w:t>
      </w:r>
    </w:p>
    <w:p w:rsidR="00A802C4" w:rsidRPr="00F42EF2" w:rsidRDefault="00A802C4" w:rsidP="00A802C4">
      <w:pPr>
        <w:suppressAutoHyphens/>
        <w:spacing w:after="120" w:line="360" w:lineRule="auto"/>
        <w:rPr>
          <w:rFonts w:ascii="Calibri" w:eastAsia="Calibri" w:hAnsi="Calibri"/>
          <w:lang w:eastAsia="ar-SA"/>
        </w:rPr>
      </w:pPr>
      <w:r w:rsidRPr="00F42EF2">
        <w:rPr>
          <w:rFonts w:ascii="Calibri" w:eastAsia="Calibri" w:hAnsi="Calibri"/>
          <w:lang w:eastAsia="ar-SA"/>
        </w:rPr>
        <w:t>Come già sopra evidenziato, in adempimento a quanto disposto da normativa vigente, l’Ente ha effett</w:t>
      </w:r>
      <w:r w:rsidR="009322F5">
        <w:rPr>
          <w:rFonts w:ascii="Calibri" w:eastAsia="Calibri" w:hAnsi="Calibri"/>
          <w:lang w:eastAsia="ar-SA"/>
        </w:rPr>
        <w:t>uato, con delibera di CdA  n. 7 del 29/01/2018</w:t>
      </w:r>
      <w:r w:rsidRPr="00F42EF2">
        <w:rPr>
          <w:rFonts w:ascii="Calibri" w:eastAsia="Calibri" w:hAnsi="Calibri"/>
          <w:lang w:eastAsia="ar-SA"/>
        </w:rPr>
        <w:t>, la ricognizione sulla situazione di esuberi ed eccedenze del personale di ruolo dell’Ente con esito negativo.</w:t>
      </w:r>
    </w:p>
    <w:p w:rsidR="00A802C4" w:rsidRPr="00F42EF2" w:rsidRDefault="00A802C4" w:rsidP="00A802C4">
      <w:pPr>
        <w:suppressAutoHyphens/>
        <w:overflowPunct w:val="0"/>
        <w:autoSpaceDE w:val="0"/>
        <w:spacing w:after="120" w:line="360" w:lineRule="auto"/>
        <w:textAlignment w:val="baseline"/>
        <w:rPr>
          <w:rFonts w:ascii="Calibri" w:eastAsia="Calibri" w:hAnsi="Calibri"/>
          <w:lang w:eastAsia="ar-SA"/>
        </w:rPr>
      </w:pPr>
      <w:r w:rsidRPr="00F42EF2">
        <w:rPr>
          <w:rFonts w:ascii="Calibri" w:eastAsia="Calibri" w:hAnsi="Calibri"/>
          <w:lang w:eastAsia="ar-SA"/>
        </w:rPr>
        <w:t>Il Consiglio di Amminis</w:t>
      </w:r>
      <w:r w:rsidR="009322F5">
        <w:rPr>
          <w:rFonts w:ascii="Calibri" w:eastAsia="Calibri" w:hAnsi="Calibri"/>
          <w:lang w:eastAsia="ar-SA"/>
        </w:rPr>
        <w:t>trazione, con proprio atto n. 8 del 29/01/2018</w:t>
      </w:r>
      <w:r w:rsidRPr="00F42EF2">
        <w:rPr>
          <w:rFonts w:ascii="Calibri" w:eastAsia="Calibri" w:hAnsi="Calibri"/>
          <w:lang w:eastAsia="ar-SA"/>
        </w:rPr>
        <w:t xml:space="preserve"> ha confermato la dotazione organica del personale dipendente, ripartita in due Aree (Area n. 1: affari generali e Area n. 2:amministrativa, tecnica e finanziaria) alle quali sono assegnati  i n. 4 posti previsti in organico,  totalmente coperti con il personale transitato dai due Cob (Cob di Verbania e Cob Valle Ossola);</w:t>
      </w:r>
    </w:p>
    <w:p w:rsidR="00A802C4" w:rsidRPr="00F42EF2" w:rsidRDefault="00A802C4" w:rsidP="00A802C4">
      <w:pPr>
        <w:suppressAutoHyphens/>
        <w:spacing w:after="120" w:line="360" w:lineRule="auto"/>
        <w:rPr>
          <w:rFonts w:ascii="Calibri" w:eastAsia="Calibri" w:hAnsi="Calibri"/>
          <w:lang w:eastAsia="ar-SA"/>
        </w:rPr>
      </w:pPr>
      <w:r w:rsidRPr="00F42EF2">
        <w:rPr>
          <w:rFonts w:ascii="Calibri" w:eastAsia="Calibri" w:hAnsi="Calibri"/>
          <w:lang w:eastAsia="ar-SA"/>
        </w:rPr>
        <w:t xml:space="preserve">La responsabilità dell’area n. 1 denominata “Affari Generali” è stata assegnata al Segretario dell’Ente nominato dal Presidente con proprio Decreto e scelto tra i segretari comunali iscritti all’Agenzie dei Segretari Comunali, la responsabilità dell’area n. 2 denominata “Amministrativa Tecnica e Finanziaria” è stata assegnata al Dirigente di ruolo dell’Ente, che con delibera del Consiglio di Amministrazione n. 03 del 15.03.2011, è stato nominato Direttore dell’Ente.  </w:t>
      </w:r>
    </w:p>
    <w:p w:rsidR="00A802C4" w:rsidRPr="00F42EF2" w:rsidRDefault="00A802C4" w:rsidP="00A802C4">
      <w:pPr>
        <w:suppressAutoHyphens/>
        <w:spacing w:after="120" w:line="360" w:lineRule="auto"/>
        <w:rPr>
          <w:rFonts w:ascii="Calibri" w:eastAsia="Calibri" w:hAnsi="Calibri"/>
          <w:lang w:eastAsia="ar-SA"/>
        </w:rPr>
      </w:pPr>
      <w:r w:rsidRPr="00F42EF2">
        <w:rPr>
          <w:rFonts w:ascii="Calibri" w:eastAsia="Calibri" w:hAnsi="Calibri"/>
          <w:lang w:eastAsia="ar-SA"/>
        </w:rPr>
        <w:t xml:space="preserve">Da rilevare come una parte significativa dell’attività del personale dell’Ente (in particolare quella contabile e tecnica) è impegnata nella gestione totale e/o parziale dei servizi legati ai piani economici finanziari e alla </w:t>
      </w:r>
      <w:r w:rsidRPr="00F42EF2">
        <w:rPr>
          <w:rFonts w:ascii="Calibri" w:eastAsia="Calibri" w:hAnsi="Calibri"/>
          <w:lang w:eastAsia="ar-SA"/>
        </w:rPr>
        <w:lastRenderedPageBreak/>
        <w:t>gestione della TIA/TARES/TARI per i Comuni di Stresa e Crevoladossola e solo TIA relativamente all’attività di recupero dei ruoli anni 2010/2012 risultanti ancora insoluti, per i Comuni di Verbania e Gravellona Toce.</w:t>
      </w:r>
    </w:p>
    <w:p w:rsidR="00A802C4" w:rsidRPr="00F42EF2" w:rsidRDefault="00A802C4" w:rsidP="00A802C4">
      <w:pPr>
        <w:widowControl w:val="0"/>
        <w:tabs>
          <w:tab w:val="left" w:pos="3686"/>
        </w:tabs>
        <w:suppressAutoHyphens/>
        <w:spacing w:after="120" w:line="360" w:lineRule="auto"/>
        <w:rPr>
          <w:rFonts w:ascii="Calibri" w:eastAsia="Calibri" w:hAnsi="Calibri"/>
          <w:lang w:eastAsia="ar-SA"/>
        </w:rPr>
      </w:pPr>
      <w:r w:rsidRPr="00F42EF2">
        <w:rPr>
          <w:rFonts w:ascii="Calibri" w:eastAsia="Calibri" w:hAnsi="Calibri"/>
          <w:lang w:eastAsia="ar-SA"/>
        </w:rPr>
        <w:t>Si segnala, altresì, che il Comune di Verbania a fronte della reinternalizzazione del servizio di gestione del tributo rifiuti a far data dal 15 luglio 2014 e della conseguente necessità di riorganizzare l’ufficio tributi e portare a termine attività accertative per omesso/infedele denuncia sino a tale data in capo al Consorz</w:t>
      </w:r>
      <w:r w:rsidR="009322F5">
        <w:rPr>
          <w:rFonts w:ascii="Calibri" w:eastAsia="Calibri" w:hAnsi="Calibri"/>
          <w:lang w:eastAsia="ar-SA"/>
        </w:rPr>
        <w:t>io, come avvenuto nelle precedenti annualità anche per l’anno 2018</w:t>
      </w:r>
      <w:r w:rsidRPr="00F42EF2">
        <w:rPr>
          <w:rFonts w:ascii="Calibri" w:eastAsia="Calibri" w:hAnsi="Calibri"/>
          <w:lang w:eastAsia="ar-SA"/>
        </w:rPr>
        <w:t xml:space="preserve"> ha richiesto di potersi avvalere della collaborazione, in regime di convenzione, di un Istruttore Direttivo contabile dipendente del Consorzio per un monte ore settimanale di 18 ore, dietro corresponsione della somma complessiva di €18.700,00.   </w:t>
      </w:r>
    </w:p>
    <w:p w:rsidR="00A802C4" w:rsidRPr="00F42EF2" w:rsidRDefault="00A802C4" w:rsidP="00A802C4">
      <w:pPr>
        <w:suppressAutoHyphens/>
        <w:spacing w:after="120" w:line="360" w:lineRule="auto"/>
        <w:rPr>
          <w:rFonts w:ascii="Calibri" w:eastAsia="Calibri" w:hAnsi="Calibri"/>
          <w:lang w:eastAsia="ar-SA"/>
        </w:rPr>
      </w:pPr>
      <w:r w:rsidRPr="00F42EF2">
        <w:rPr>
          <w:rFonts w:ascii="Calibri" w:eastAsia="Calibri" w:hAnsi="Calibri"/>
          <w:lang w:eastAsia="ar-SA"/>
        </w:rPr>
        <w:t xml:space="preserve">In considerazione della struttura organizzativa del personale, si è ritenuto inoltre proseguire tramite affidamento alla ditta Studio Associato Trisconi di Tarabella e Temporelli di Verbania, già operante per il Cob di Verbania, l'esternalizzazione della gestione del trattamento economico, previdenziale e fiscale del personale ed amministratori. </w:t>
      </w:r>
    </w:p>
    <w:p w:rsidR="00A802C4" w:rsidRPr="00F42EF2" w:rsidRDefault="00A802C4" w:rsidP="00A802C4">
      <w:pPr>
        <w:widowControl w:val="0"/>
        <w:tabs>
          <w:tab w:val="left" w:pos="3686"/>
        </w:tabs>
        <w:suppressAutoHyphens/>
        <w:spacing w:line="360" w:lineRule="auto"/>
        <w:rPr>
          <w:rFonts w:ascii="Calibri" w:hAnsi="Calibri"/>
          <w:lang w:eastAsia="ar-SA"/>
        </w:rPr>
      </w:pPr>
    </w:p>
    <w:p w:rsidR="00A802C4" w:rsidRPr="00F42EF2" w:rsidRDefault="00A802C4" w:rsidP="00A802C4">
      <w:pPr>
        <w:widowControl w:val="0"/>
        <w:tabs>
          <w:tab w:val="left" w:pos="3686"/>
        </w:tabs>
        <w:suppressAutoHyphens/>
        <w:spacing w:after="120" w:line="360" w:lineRule="auto"/>
        <w:rPr>
          <w:rFonts w:ascii="Calibri" w:eastAsia="Calibri" w:hAnsi="Calibri"/>
          <w:lang w:eastAsia="ar-SA"/>
        </w:rPr>
      </w:pPr>
    </w:p>
    <w:p w:rsidR="00A802C4" w:rsidRPr="00F42EF2" w:rsidRDefault="00A802C4" w:rsidP="00A802C4">
      <w:pPr>
        <w:sectPr w:rsidR="00A802C4" w:rsidRPr="00F42EF2" w:rsidSect="00895D3F">
          <w:pgSz w:w="11906" w:h="16838"/>
          <w:pgMar w:top="1418" w:right="1134" w:bottom="1134" w:left="1134" w:header="709" w:footer="709" w:gutter="0"/>
          <w:cols w:space="708"/>
          <w:docGrid w:linePitch="360"/>
        </w:sectPr>
      </w:pPr>
    </w:p>
    <w:p w:rsidR="00A802C4" w:rsidRDefault="00A802C4" w:rsidP="00A802C4">
      <w:pPr>
        <w:pStyle w:val="Titolo3"/>
        <w:numPr>
          <w:ilvl w:val="0"/>
          <w:numId w:val="0"/>
        </w:numPr>
      </w:pPr>
      <w:bookmarkStart w:id="10" w:name="_Toc496177134"/>
    </w:p>
    <w:p w:rsidR="00EF4D57" w:rsidRDefault="00EF4D57" w:rsidP="00EF4D57">
      <w:pPr>
        <w:pStyle w:val="Titolo3"/>
      </w:pPr>
      <w:bookmarkStart w:id="11" w:name="_Toc496177136"/>
      <w:bookmarkEnd w:id="10"/>
      <w:r w:rsidRPr="00EF4D57">
        <w:t>Indirizzi</w:t>
      </w:r>
      <w:r w:rsidR="00837CF5">
        <w:t xml:space="preserve"> in materia di entrate</w:t>
      </w:r>
      <w:r w:rsidRPr="00EF4D57">
        <w:t>, valutazione sui mezzi finanziari, impiego di risorse straordinarie e in conto capitale</w:t>
      </w:r>
      <w:bookmarkEnd w:id="11"/>
    </w:p>
    <w:p w:rsidR="00EF4D57" w:rsidRDefault="00EF4D57" w:rsidP="00EF4D57"/>
    <w:p w:rsidR="00837CF5" w:rsidRPr="00F42EF2" w:rsidRDefault="00837CF5" w:rsidP="00837CF5">
      <w:pPr>
        <w:tabs>
          <w:tab w:val="left" w:pos="708"/>
          <w:tab w:val="left" w:pos="113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rsidRPr="00F42EF2">
        <w:t>La programmazione operativa del DUP si sviluppa partendo dalle entrate e cercando di evidenziare le modalità con cui le stesse finanziano la spesa al fine di perseguire gli obiettivi definiti.</w:t>
      </w:r>
    </w:p>
    <w:p w:rsidR="00837CF5" w:rsidRPr="00F42EF2" w:rsidRDefault="00837CF5" w:rsidP="00837C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rPr>
          <w:rFonts w:cs="Arial"/>
        </w:rPr>
      </w:pPr>
      <w:r w:rsidRPr="00F42EF2">
        <w:rPr>
          <w:rFonts w:cs="Arial"/>
        </w:rPr>
        <w:t>Nel contesto strutturale e legislativo descritto nei paragrafi precedenti, si inserisce la situazione finanziaria del nostro Ente: l’analisi strategica, richiede, infatti anche un approfondimento sulla situazione finanziaria che è in ogni caso anche il frutto delle scelte effettuate dalle gestioni precedenti.</w:t>
      </w:r>
    </w:p>
    <w:p w:rsidR="00837CF5" w:rsidRPr="00F42EF2" w:rsidRDefault="00837CF5" w:rsidP="00837CF5">
      <w:pPr>
        <w:widowControl w:val="0"/>
        <w:tabs>
          <w:tab w:val="left" w:pos="3686"/>
        </w:tabs>
        <w:spacing w:line="360" w:lineRule="auto"/>
        <w:rPr>
          <w:rFonts w:cs="Tahoma"/>
        </w:rPr>
      </w:pPr>
      <w:r w:rsidRPr="00F42EF2">
        <w:rPr>
          <w:rFonts w:cs="Tahoma"/>
        </w:rPr>
        <w:t xml:space="preserve">Le spese generali di funzionamento dell’Ente necessarie per permettere all’Ente di esercitare le proprie funzioni di governo e programmazione in materia di rifiuti , iscritte al </w:t>
      </w:r>
      <w:r w:rsidRPr="00F42EF2">
        <w:rPr>
          <w:rFonts w:cs="Tahoma"/>
          <w:b/>
        </w:rPr>
        <w:t>Titolo I</w:t>
      </w:r>
      <w:r w:rsidRPr="00F42EF2">
        <w:rPr>
          <w:rFonts w:cs="Tahoma"/>
        </w:rPr>
        <w:t xml:space="preserve"> delle spese, vengono finanziate quasi totalmente con le quote di partecipazione al Consorzio dei n. 76 Comuni consorziati iscritte al Titolo II delle entrate, che come evidenziato nell’allegato A) al presente documento sono determinate sulla base di quanto disposto nella convenzione istitutiva dell’Ente e nell’art. 6 dello statuto consortile, il quale così testualmente dispone:</w:t>
      </w:r>
    </w:p>
    <w:p w:rsidR="00837CF5" w:rsidRPr="00F42EF2" w:rsidRDefault="00837CF5" w:rsidP="00837CF5">
      <w:pPr>
        <w:autoSpaceDE w:val="0"/>
        <w:autoSpaceDN w:val="0"/>
        <w:spacing w:before="60" w:line="360" w:lineRule="auto"/>
      </w:pPr>
      <w:r w:rsidRPr="00F42EF2">
        <w:t xml:space="preserve"> “ 1. Le quote di partecipazione degli enti consorziati sono quelle riportate nell’apposito prospetto che allegato alla convenzione ne costituisce parte integrante e sostanziale quale allegato B) e sono determinate tenendo conto del seguente criterio: - per l’85% in base alla popolazione di ciascun Comune alla data del 31.12.2001 e per il restante 15% in base alla superficie territoriale di ciascun Comune. “  </w:t>
      </w:r>
    </w:p>
    <w:p w:rsidR="00837CF5" w:rsidRPr="00F42EF2" w:rsidRDefault="00837CF5" w:rsidP="00837CF5">
      <w:pPr>
        <w:autoSpaceDE w:val="0"/>
        <w:autoSpaceDN w:val="0"/>
        <w:spacing w:before="60" w:line="360" w:lineRule="auto"/>
      </w:pPr>
      <w:r w:rsidRPr="00F42EF2">
        <w:t>Come noto, le quote di partecipazione sono state recentemente aggiornate ed approvate dall’organo assembleare stante la disponibilità di dati aggiornati di popolazione residente al 2011 così come a fronte dell’avvenuta aggregazione, con decorrenza 1° gennaio 2016, dei Comuni di Seppiana e Viganell</w:t>
      </w:r>
      <w:r>
        <w:t>a nel Comune di Borgomezzavalle</w:t>
      </w:r>
    </w:p>
    <w:p w:rsidR="00837CF5" w:rsidRPr="00F42EF2" w:rsidRDefault="00837CF5" w:rsidP="00837CF5">
      <w:pPr>
        <w:spacing w:before="60" w:line="360" w:lineRule="auto"/>
      </w:pPr>
      <w:r w:rsidRPr="00F42EF2">
        <w:lastRenderedPageBreak/>
        <w:t>E’ da segnalare che dal 1° gennaio 2014, in recepimento a quanto disposto dalla Legge di stabilità 2014 n.147/2013, che pone in capo ai Comuni la competenza in materia di riscossione della tassa sui rifiuti TARI, nel bilancio consortile non confluisce più nessun tipo di entrata di carattere tributario; la TARI dei Comuni di Stresa e Crevoladossola ancora gestiti dal Consorzio viene infatti  iscritta nel bilancio del Comune interessato.</w:t>
      </w:r>
    </w:p>
    <w:p w:rsidR="00837CF5" w:rsidRPr="00F42EF2" w:rsidRDefault="00837CF5" w:rsidP="00837CF5">
      <w:pPr>
        <w:suppressAutoHyphens/>
        <w:autoSpaceDE w:val="0"/>
        <w:autoSpaceDN w:val="0"/>
        <w:spacing w:before="60" w:after="120" w:line="360" w:lineRule="auto"/>
        <w:ind w:left="720"/>
      </w:pPr>
      <w:r w:rsidRPr="00F42EF2">
        <w:t xml:space="preserve">Al </w:t>
      </w:r>
      <w:r w:rsidRPr="00F42EF2">
        <w:rPr>
          <w:b/>
        </w:rPr>
        <w:t>Titolo II</w:t>
      </w:r>
      <w:r w:rsidRPr="00F42EF2">
        <w:t xml:space="preserve"> delle entrate confluiscono altresì a titolo di trasferimento:</w:t>
      </w:r>
    </w:p>
    <w:p w:rsidR="00837CF5" w:rsidRPr="00F42EF2" w:rsidRDefault="00837CF5" w:rsidP="00837CF5">
      <w:pPr>
        <w:widowControl w:val="0"/>
        <w:tabs>
          <w:tab w:val="left" w:pos="3686"/>
        </w:tabs>
        <w:spacing w:line="360" w:lineRule="auto"/>
        <w:rPr>
          <w:rFonts w:cs="Tahoma"/>
        </w:rPr>
      </w:pPr>
      <w:r w:rsidRPr="00F42EF2">
        <w:rPr>
          <w:rFonts w:cs="Tahoma"/>
        </w:rPr>
        <w:t>- il Fondo di contenimento tariffe da parte del Ministero dell’Interno per i maggiori oneri derivanti dal</w:t>
      </w:r>
      <w:r w:rsidRPr="00A738F9">
        <w:rPr>
          <w:rFonts w:cs="Tahoma"/>
        </w:rPr>
        <w:t xml:space="preserve"> </w:t>
      </w:r>
      <w:r w:rsidRPr="00F42EF2">
        <w:rPr>
          <w:rFonts w:cs="Tahoma"/>
        </w:rPr>
        <w:t>pagamento dell’IVA in relazione ai contratto di servizio non commerciali dei Comuni in gestione TARI che trova identico importo al Titolo I delle spese in quanto da trasferirsi totalmente alle Amministrazioni Comunali interessate (Comuni in gestione TARI);</w:t>
      </w:r>
    </w:p>
    <w:p w:rsidR="00837CF5" w:rsidRPr="00F42EF2" w:rsidRDefault="00837CF5" w:rsidP="00837CF5">
      <w:pPr>
        <w:widowControl w:val="0"/>
        <w:suppressAutoHyphens/>
        <w:spacing w:after="0" w:line="360" w:lineRule="auto"/>
        <w:rPr>
          <w:rFonts w:eastAsia="Times New Roman" w:cs="Tahoma"/>
          <w:lang w:eastAsia="ar-SA"/>
        </w:rPr>
      </w:pPr>
      <w:r w:rsidRPr="00F42EF2">
        <w:rPr>
          <w:rFonts w:eastAsia="Times New Roman" w:cs="Tahoma"/>
          <w:b/>
          <w:lang w:eastAsia="ar-SA"/>
        </w:rPr>
        <w:t xml:space="preserve">- </w:t>
      </w:r>
      <w:r w:rsidRPr="00F42EF2">
        <w:rPr>
          <w:rFonts w:eastAsia="Times New Roman" w:cs="Tahoma"/>
          <w:lang w:eastAsia="ar-SA"/>
        </w:rPr>
        <w:t>i trasferimenti da parte dei Comuni di Stresa e Crevoladossola, di quanto risultante dai singoli Piani Economici Finanziari TARI che trovano identica iscrizione tra le spese del titolo I.</w:t>
      </w:r>
    </w:p>
    <w:p w:rsidR="00837CF5" w:rsidRPr="00F42EF2" w:rsidRDefault="00837CF5" w:rsidP="00837CF5">
      <w:pPr>
        <w:widowControl w:val="0"/>
        <w:suppressAutoHyphens/>
        <w:spacing w:after="0" w:line="360" w:lineRule="auto"/>
        <w:rPr>
          <w:rFonts w:eastAsia="Times New Roman" w:cs="Tahoma"/>
          <w:lang w:eastAsia="ar-SA"/>
        </w:rPr>
      </w:pPr>
      <w:r w:rsidRPr="00F42EF2">
        <w:rPr>
          <w:rFonts w:eastAsia="Times New Roman" w:cs="Tahoma"/>
          <w:lang w:eastAsia="ar-SA"/>
        </w:rPr>
        <w:t>-il trasferimento da parte del Comune di Verbania della quota di dispesa di personale per l’unità di personale D2 assegnata per 18 ore all’ufficio tributo dello stesso Comune;</w:t>
      </w:r>
    </w:p>
    <w:p w:rsidR="00837CF5" w:rsidRDefault="00837CF5" w:rsidP="00837CF5">
      <w:pPr>
        <w:widowControl w:val="0"/>
        <w:tabs>
          <w:tab w:val="left" w:pos="3686"/>
        </w:tabs>
        <w:spacing w:before="60" w:line="360" w:lineRule="auto"/>
        <w:rPr>
          <w:rFonts w:cs="Tahoma"/>
        </w:rPr>
      </w:pPr>
      <w:r w:rsidRPr="00F42EF2">
        <w:rPr>
          <w:rFonts w:cs="Arial"/>
        </w:rPr>
        <w:t xml:space="preserve">Confluiscono invece al </w:t>
      </w:r>
      <w:r w:rsidRPr="00F42EF2">
        <w:rPr>
          <w:rFonts w:cs="Arial"/>
          <w:b/>
        </w:rPr>
        <w:t xml:space="preserve">Titolo III </w:t>
      </w:r>
      <w:r w:rsidRPr="00F42EF2">
        <w:rPr>
          <w:rFonts w:cs="Arial"/>
        </w:rPr>
        <w:t xml:space="preserve">i proventi derivanti dalla gestione CONAI di </w:t>
      </w:r>
      <w:r w:rsidRPr="00F42EF2">
        <w:t>competenza dell’Ente;</w:t>
      </w:r>
      <w:r w:rsidRPr="00F42EF2">
        <w:rPr>
          <w:rFonts w:cs="Tahoma"/>
        </w:rPr>
        <w:t xml:space="preserve"> i corrispettivi CONAI di entrambi i bacini (bacino nord ex Comuni Cob Valle Ossola e bacino sud ex Comuni Cob Verbania) vengono incassati da ConSerVCO SpA  solo per quanto riguarda la plastica e direttamente dal Consorzio per le altre tipologie di rifiuto, quest’ultimo,  provvede a restituirli ai n. 76 Comuni interessati al netto delle spese di gestione da riconoscere alla Società ConSerVCO SpA.</w:t>
      </w:r>
    </w:p>
    <w:p w:rsidR="00837CF5" w:rsidRDefault="00837CF5" w:rsidP="00837CF5">
      <w:pPr>
        <w:widowControl w:val="0"/>
        <w:tabs>
          <w:tab w:val="left" w:pos="3686"/>
        </w:tabs>
        <w:spacing w:before="60" w:line="360" w:lineRule="auto"/>
        <w:rPr>
          <w:rFonts w:cs="Tahoma"/>
        </w:rPr>
      </w:pPr>
    </w:p>
    <w:p w:rsidR="00837CF5" w:rsidRDefault="00837CF5" w:rsidP="00837CF5">
      <w:pPr>
        <w:widowControl w:val="0"/>
        <w:tabs>
          <w:tab w:val="left" w:pos="3686"/>
        </w:tabs>
        <w:spacing w:before="60" w:line="360" w:lineRule="auto"/>
        <w:rPr>
          <w:rFonts w:cs="Tahoma"/>
        </w:rPr>
      </w:pPr>
    </w:p>
    <w:p w:rsidR="00837CF5" w:rsidRDefault="00837CF5" w:rsidP="00837CF5">
      <w:pPr>
        <w:widowControl w:val="0"/>
        <w:tabs>
          <w:tab w:val="left" w:pos="3686"/>
        </w:tabs>
        <w:spacing w:before="60" w:line="360" w:lineRule="auto"/>
        <w:rPr>
          <w:rFonts w:cs="Tahoma"/>
        </w:rPr>
      </w:pPr>
    </w:p>
    <w:p w:rsidR="00C96A74" w:rsidRPr="00E21727" w:rsidRDefault="00E21727" w:rsidP="00E21727">
      <w:pPr>
        <w:jc w:val="left"/>
        <w:rPr>
          <w:rFonts w:cs="Arial"/>
        </w:rPr>
      </w:pPr>
      <w:r>
        <w:rPr>
          <w:rFonts w:cs="Arial"/>
        </w:rPr>
        <w:br w:type="page"/>
      </w:r>
    </w:p>
    <w:tbl>
      <w:tblPr>
        <w:tblStyle w:val="Grigliachiara-Colore5"/>
        <w:tblW w:w="5000" w:type="auto"/>
        <w:tblLook w:val="06A0" w:firstRow="1" w:lastRow="0" w:firstColumn="1" w:lastColumn="0" w:noHBand="1" w:noVBand="1"/>
      </w:tblPr>
      <w:tblGrid>
        <w:gridCol w:w="416"/>
        <w:gridCol w:w="5062"/>
        <w:gridCol w:w="1469"/>
        <w:gridCol w:w="1511"/>
        <w:gridCol w:w="1511"/>
        <w:gridCol w:w="1511"/>
        <w:gridCol w:w="1511"/>
        <w:gridCol w:w="151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lastRenderedPageBreak/>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Titolo</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0</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AVANZO E FPV</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ENTRATE CORRENTI DI NATURA TRIBUTARIA, CONTRIBUTIVA E PEREQUATIVA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2</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TRASFERIMENTI CORRENTI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3.146.878,32</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3.150.271,23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3.136.535,19</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3.121.522,80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3.101.030,59</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3</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ENTRATE EXTRATRIBUTARIE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943.700,99</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2.272.407,18</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1.503.736,94</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1.371.300,00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1.371.300,00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4</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ENTRATE IN CONTO CAPITALE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5.845,36</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69.903,34</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5</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ENTRATE DA RIDUZIONE DI ATTIVITA' FINANZIARIE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6</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ACCENSIONE PRESTITI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982.917,47</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1.022.644,83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1.022.000,00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7</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ANTICIPAZIONI DA ISTITUTO TESORIERE/CASSIERE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9</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ENTRATE PER CONTO TERZI E PARTITE DI GIRO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350.238,32</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1.143.000,00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1.143.000,00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1.143.000,00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1.143.000,00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ENTRATE</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b/>
                <w:sz w:val="18"/>
                <w:szCs w:val="18"/>
              </w:rPr>
              <w:t>4.446.662,99</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7.618.499,22</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6.805.916,96</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6.657.822,80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6.637.330,59</w:t>
            </w:r>
          </w:p>
        </w:tc>
      </w:tr>
    </w:tbl>
    <w:p w:rsidR="00816AF2" w:rsidRDefault="00816AF2"/>
    <w:p w:rsidR="00EA2161" w:rsidRDefault="00EA2161">
      <w:pPr>
        <w:jc w:val="left"/>
        <w:rPr>
          <w:color w:val="262626" w:themeColor="text1" w:themeTint="D9"/>
        </w:rPr>
      </w:pPr>
      <w:r>
        <w:rPr>
          <w:color w:val="262626" w:themeColor="text1" w:themeTint="D9"/>
        </w:rPr>
        <w:br w:type="page"/>
      </w:r>
    </w:p>
    <w:p w:rsidR="00816AF2" w:rsidRDefault="00A05F67">
      <w:pPr>
        <w:jc w:val="center"/>
      </w:pPr>
      <w:r>
        <w:rPr>
          <w:b/>
          <w:i/>
        </w:rPr>
        <w:lastRenderedPageBreak/>
        <w:t>Andamento Entrate 2015 – 2020</w:t>
      </w:r>
    </w:p>
    <w:p w:rsidR="00816AF2" w:rsidRDefault="00A05F67">
      <w:pPr>
        <w:jc w:val="center"/>
      </w:pPr>
      <w:r>
        <w:rPr>
          <w:noProof/>
          <w:lang w:eastAsia="it-IT"/>
        </w:rPr>
        <w:drawing>
          <wp:inline distT="0" distB="0" distL="0" distR="0">
            <wp:extent cx="9000000" cy="5040000"/>
            <wp:effectExtent l="0" t="0" r="19050" b="19050"/>
            <wp:docPr id="3"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EA2161" w:rsidRDefault="00EA2161">
      <w:pPr>
        <w:jc w:val="left"/>
        <w:rPr>
          <w:color w:val="262626" w:themeColor="text1" w:themeTint="D9"/>
        </w:rPr>
      </w:pPr>
      <w:r>
        <w:rPr>
          <w:color w:val="262626" w:themeColor="text1" w:themeTint="D9"/>
        </w:rPr>
        <w:br w:type="page"/>
      </w:r>
    </w:p>
    <w:p w:rsidR="00816AF2" w:rsidRDefault="00A05F67">
      <w:pPr>
        <w:jc w:val="center"/>
      </w:pPr>
      <w:r>
        <w:rPr>
          <w:b/>
          <w:i/>
        </w:rPr>
        <w:lastRenderedPageBreak/>
        <w:t>Ripartizione Entrate 2018 - 2020</w:t>
      </w:r>
    </w:p>
    <w:p w:rsidR="00816AF2" w:rsidRDefault="00A05F67">
      <w:pPr>
        <w:jc w:val="center"/>
      </w:pPr>
      <w:r>
        <w:rPr>
          <w:noProof/>
          <w:lang w:eastAsia="it-IT"/>
        </w:rPr>
        <w:drawing>
          <wp:inline distT="0" distB="0" distL="0" distR="0">
            <wp:extent cx="9000000" cy="5040000"/>
            <wp:effectExtent l="0" t="0" r="19050" b="19050"/>
            <wp:docPr id="4"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816AF2" w:rsidRDefault="00816AF2"/>
    <w:p w:rsidR="00816AF2" w:rsidRDefault="00A05F67">
      <w:pPr>
        <w:jc w:val="center"/>
      </w:pPr>
      <w:r>
        <w:rPr>
          <w:noProof/>
          <w:lang w:eastAsia="it-IT"/>
        </w:rPr>
        <w:lastRenderedPageBreak/>
        <w:drawing>
          <wp:inline distT="0" distB="0" distL="0" distR="0">
            <wp:extent cx="9000000" cy="5040000"/>
            <wp:effectExtent l="0" t="0" r="19050" b="19050"/>
            <wp:docPr id="5"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816AF2" w:rsidRDefault="00816AF2"/>
    <w:p w:rsidR="00816AF2" w:rsidRDefault="00A05F67">
      <w:pPr>
        <w:jc w:val="center"/>
      </w:pPr>
      <w:r>
        <w:rPr>
          <w:noProof/>
          <w:lang w:eastAsia="it-IT"/>
        </w:rPr>
        <w:lastRenderedPageBreak/>
        <w:drawing>
          <wp:inline distT="0" distB="0" distL="0" distR="0">
            <wp:extent cx="9000000" cy="5040000"/>
            <wp:effectExtent l="0" t="0" r="19050" b="19050"/>
            <wp:docPr id="6"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6C0073" w:rsidRDefault="006C0073">
      <w:pPr>
        <w:jc w:val="left"/>
      </w:pPr>
      <w:r>
        <w:br w:type="page"/>
      </w:r>
    </w:p>
    <w:p w:rsidR="00563CDC" w:rsidRDefault="00563CDC" w:rsidP="00563CDC">
      <w:pPr>
        <w:pStyle w:val="Titolo3"/>
      </w:pPr>
      <w:bookmarkStart w:id="12" w:name="_Toc434912828"/>
      <w:bookmarkStart w:id="13" w:name="_Toc496177137"/>
      <w:r w:rsidRPr="006D08E3">
        <w:lastRenderedPageBreak/>
        <w:t xml:space="preserve">Analisi e valutazione </w:t>
      </w:r>
      <w:bookmarkEnd w:id="12"/>
      <w:r w:rsidR="002F21B0">
        <w:t>della spesa</w:t>
      </w:r>
      <w:bookmarkEnd w:id="13"/>
    </w:p>
    <w:tbl>
      <w:tblPr>
        <w:tblStyle w:val="Grigliachiara-Colore5"/>
        <w:tblW w:w="5000" w:type="auto"/>
        <w:tblLook w:val="06A0" w:firstRow="1" w:lastRow="0" w:firstColumn="1" w:lastColumn="0" w:noHBand="1" w:noVBand="1"/>
      </w:tblPr>
      <w:tblGrid>
        <w:gridCol w:w="416"/>
        <w:gridCol w:w="4937"/>
        <w:gridCol w:w="1544"/>
        <w:gridCol w:w="1545"/>
        <w:gridCol w:w="1515"/>
        <w:gridCol w:w="1515"/>
        <w:gridCol w:w="1515"/>
        <w:gridCol w:w="1515"/>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Titolo</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(Impegnato)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(Impegnato)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0</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Disavanzo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Spese correnti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3.845.857,05</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5.515.263,61</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4.605.662,13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4.473.342,04</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4.472.330,59</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2</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Spese in conto capitale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75.748,70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3</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Spese per incremento attività finanziarie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4</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Rimborso Prestiti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66.960,76</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71.035,00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34.610,00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19.480,76</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5</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Chiusura Anticipazioni ricevute da istituto tesoriere/cassiere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982.917,47</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1.022.644,83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1.022.000,00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7</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Uscite per conto terzi e partite di giro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350.238,32</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1.143.000,00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1.143.000,00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1.143.000,00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1.143.000,00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SPESE</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b/>
                <w:sz w:val="18"/>
                <w:szCs w:val="18"/>
              </w:rPr>
              <w:t>4.263.056,13</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7.787.964,78</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6.805.916,96</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6.657.822,80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6.637.330,59</w:t>
            </w:r>
          </w:p>
        </w:tc>
      </w:tr>
    </w:tbl>
    <w:p w:rsidR="00816AF2" w:rsidRDefault="00816AF2"/>
    <w:p w:rsidR="00563CDC" w:rsidRDefault="00563CDC" w:rsidP="00563CDC">
      <w:pPr>
        <w:jc w:val="left"/>
      </w:pPr>
      <w:r>
        <w:br w:type="page"/>
      </w:r>
    </w:p>
    <w:p w:rsidR="00816AF2" w:rsidRDefault="00A05F67">
      <w:pPr>
        <w:jc w:val="center"/>
      </w:pPr>
      <w:r>
        <w:rPr>
          <w:b/>
          <w:i/>
        </w:rPr>
        <w:lastRenderedPageBreak/>
        <w:t>Andamento Spese 2015 – 2020</w:t>
      </w:r>
    </w:p>
    <w:p w:rsidR="00816AF2" w:rsidRDefault="00A05F67">
      <w:pPr>
        <w:jc w:val="center"/>
      </w:pPr>
      <w:r>
        <w:rPr>
          <w:noProof/>
          <w:lang w:eastAsia="it-IT"/>
        </w:rPr>
        <w:drawing>
          <wp:inline distT="0" distB="0" distL="0" distR="0">
            <wp:extent cx="9000000" cy="5040000"/>
            <wp:effectExtent l="0" t="0" r="19050" b="19050"/>
            <wp:docPr id="7"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563CDC" w:rsidRDefault="00563CDC" w:rsidP="00563CDC">
      <w:pPr>
        <w:jc w:val="left"/>
      </w:pPr>
      <w:r>
        <w:br w:type="page"/>
      </w:r>
    </w:p>
    <w:tbl>
      <w:tblPr>
        <w:tblStyle w:val="Grigliachiara-Colore5"/>
        <w:tblW w:w="5000" w:type="auto"/>
        <w:tblLook w:val="06A0" w:firstRow="1" w:lastRow="0" w:firstColumn="1" w:lastColumn="0" w:noHBand="1" w:noVBand="1"/>
      </w:tblPr>
      <w:tblGrid>
        <w:gridCol w:w="3125"/>
        <w:gridCol w:w="3233"/>
        <w:gridCol w:w="1382"/>
        <w:gridCol w:w="1382"/>
        <w:gridCol w:w="1345"/>
        <w:gridCol w:w="1345"/>
        <w:gridCol w:w="1345"/>
        <w:gridCol w:w="1345"/>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i/>
                <w:sz w:val="20"/>
                <w:szCs w:val="20"/>
              </w:rPr>
              <w:lastRenderedPageBreak/>
              <w:t>Missione</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(Impegnato)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(Impegnato)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01 - Servizi istituzionali, generali e di gestione</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Organi istituzionali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2.773,58</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6.000,00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5.400,00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5.400,00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5.400,00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Segreteria generale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284.370,90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311.591,52</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347.500,00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345.300,00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345.100,00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03 - Gestione economica, finanziaria,  programmazione, provveditorato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04 - Gestione delle entrate tributarie e servizi fiscali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05 - Gestione dei beni demaniali e patrimoniali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06 - Ufficio tecnico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07 -  Elezioni e consultazioni popolari - Anagrafe e stato civile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08 -  Statistica e sistemi informativi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09 -  Assistenza tecnico-amministrativa agli enti locali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10 - Risorse umane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11 - Altri servizi generali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17.000,00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01 - Servizi istituzionali, generali e di gestione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287.144,48</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334.591,52</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352.900,00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350.700,00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350.500,00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02 - Giustizia</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Uffici giudiziari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Casa circondariale e altri servizi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02 - Giustizia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03 - Ordine pubblico e sicurezza</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Polizia locale e amministrativa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Sistema integrato di sicurezza urbana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03 - Ordine pubblico e sicurezza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04 - Istruzione e diritto allo studio</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Istruzione prescolastica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Altri ordini di istruzione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04 - Istruzione universitaria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05 - Istruzione tecnica superiore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06 - Servizi ausiliari all'istruzione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07 - Diritto allo studio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04 - Istruzione e diritto allo studio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05 - Tutela e valorizzazione dei beni e attivita' culturali</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Valorizzazione dei beni di interesse storico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Attività culturali e interventi diversi nel settore culturale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05 - Tutela e valorizzazione dei beni e attivita' culturali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06 - Politiche giovanili, sport e tempo libero</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Sport e tempo libero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Giovani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06 - Politiche giovanili, sport e tempo libero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07 - Turismo</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Sviluppo e la valorizzazione del turismo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07 - Turismo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08 - Assetto del territorio ed edilizia abitativa</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Urbanistica e assetto del territorio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Edilizia residenziale pubblica e locale e piani di edilizia economico-popolare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08 - Assetto del territorio ed edilizia abitativa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09 - Sviluppo sostenibile e tutela del territorio e dell'ambiente</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Difesa del suolo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Tutela, valorizzazione e recupero ambientale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862.373,24</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2.318.095,18</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1.541.669,94</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1.409.211,45</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1.408.400,00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03 - Rifiuti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2.696.339,33</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2.923.325,61</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2.668.792,19</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2.671.130,59</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2.671.130,59</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04 - Servizio idrico integrato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05 - Aree protette, parchi naturali, protezione naturalistica e forestazione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06 - Tutela e valorizzazione delle risorse idriche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07 - Sviluppo sostenibile territorio montano piccoli Comuni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08 - Qualità dell'aria e riduzione dell'inquinamento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09 - Sviluppo sostenibile e tutela del territorio e dell'ambiente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3.558.712,57</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5.241.420,79</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4.210.462,13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4.080.342,04</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4.079.530,59</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10 - Trasporti e diritto alla mobilita'</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Trasporto ferroviario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Trasporto pubblico locale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03 - Trasporto per vie d'acqua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04 - Altre modalità di trasporto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05 - Viabilità e infrastrutture stradali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10 - Trasporti e diritto alla mobilita'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lastRenderedPageBreak/>
              <w:t>11 - Soccorso civile</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Sistema di protezione civile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Interventi a seguito di calamità naturali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11 - Soccorso civile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12 - Diritti sociali, politiche sociali e famiglia</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Interventi per l'infanzia e  i minori e per asili nido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Interventi per la disabilità</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03 - Interventi per gli anziani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04 - Interventi per i soggetti a rischio di esclusione sociale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05 - Interventi  per le famiglie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06 - Interventi per il diritto alla casa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07 - Programmazione e governo della rete dei servizi sociosanitari e sociali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08 - Cooperazione e associazionismo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09 - Servizio necroscopico e cimiteriale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12 - Diritti sociali, politiche sociali e famiglia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13 - Tutela della salute</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Servizio sanitario regionale - finanziamento ordinario corrente per la garanzia dei LEA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Servizio sanitario regionale - finanziamento aggiuntivo corrente per livelli di assistenza superiori ai LEA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03 - Servizio sanitario regionale - finanziamento aggiuntivo corrente per la copertura dello squilibrio di bilancio corrente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04 - Servizio sanitario regionale - ripiano di disavanzi sanitari relativi ad esercizi pregressi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05 - Servizio sanitario regionale - investimenti sanitari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06 - Servizio sanitario regionale - restituzione maggiori gettiti SSN</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07 - Ulteriori spese in materia sanitaria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13 - Tutela della salute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14 - Sviluppo economico e competitivita'</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Industria,  PMI e Artigianato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 xml:space="preserve">02 - Commercio - reti distributive - tutela </w:t>
            </w:r>
            <w:r>
              <w:rPr>
                <w:rFonts w:ascii="Calibri" w:hAnsi="Calibri" w:cs="Calibri"/>
                <w:sz w:val="18"/>
                <w:szCs w:val="18"/>
              </w:rPr>
              <w:lastRenderedPageBreak/>
              <w:t>dei consumatori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lastRenderedPageBreak/>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03 - Ricerca e innovazione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04 - Reti e altri servizi di pubblica utilità</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14 - Sviluppo economico e competitivita'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15 - Politiche per il lavoro e la formazione professionale</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Servizi per lo sviluppo del mercato del lavoro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Formazione professionale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03 - Sostegno all'occupazione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15 - Politiche per il lavoro e la formazione professionale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16 - Agricoltura, politiche agroalimentari e pesca</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Sviluppo del settore agricolo e del sistema agroalimentare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Caccia e pesca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16 - Agricoltura, politiche agroalimentari e pesca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17 - Energia e diversificazione delle fonti energetiche</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Fonti energetiche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17 - Energia e diversificazione delle fonti energetiche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18 - Relazioni con le altre autonomie territoriali e locali</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Relazioni finanziarie con le altre autonomie territoriali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18 - Relazioni con le altre autonomie territoriali e locali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19 - Relazioni internazionali</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Relazioni internazionali e Cooperazione allo sviluppo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19 - Relazioni internazionali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20 - Fondi e accantonamenti</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Fondo di riserva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27.300,00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27.300,00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27.300,00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Fondo svalutazione crediti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15.000,00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15.000,00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15.000,00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15.000,00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03 - Altri fondi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20 - Fondi e accantonamenti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15.000,00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42.300,00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42.300,00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42.300,00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50 - Debito pubblico</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Quota interessi ammortamento mutui e prestiti obbligazionari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Quota capitale ammortamento mutui e prestiti obbligazionari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66.960,76</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71.035,00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34.610,00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19.480,76</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50 - Debito pubblico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66.960,76</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71.035,00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34.610,00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19.480,76</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60 - Anticipazioni finanziarie</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Restituzione anticipazione di tesoreria</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982.917,47</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1.022.644,83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1.022.000,00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 xml:space="preserve">TOTALE MISSIONE 60 - Anticipazioni </w:t>
            </w:r>
            <w:r>
              <w:rPr>
                <w:rFonts w:ascii="Calibri" w:hAnsi="Calibri" w:cs="Calibri"/>
                <w:b/>
                <w:sz w:val="18"/>
                <w:szCs w:val="18"/>
              </w:rPr>
              <w:lastRenderedPageBreak/>
              <w:t>finanziarie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lastRenderedPageBreak/>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982.917,47</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1.022.644,83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1.022.000,00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1.022.000,00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816AF2" w:rsidRDefault="00A05F67">
            <w:pPr>
              <w:jc w:val="center"/>
            </w:pPr>
            <w:r>
              <w:rPr>
                <w:rFonts w:ascii="Calibri" w:hAnsi="Calibri" w:cs="Calibri"/>
                <w:sz w:val="18"/>
                <w:szCs w:val="18"/>
              </w:rPr>
              <w:t>99 - Servizi per conto terzi</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Servizi per conto terzi e Partite di giro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350.238,32</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1.143.000,00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1.143.000,00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1.143.000,00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1.143.000,00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Anticipazioni per il finanziamento del SSN</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816AF2" w:rsidRDefault="00816AF2"/>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99 - Servizi per conto terzi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350.238,32</w:t>
            </w:r>
          </w:p>
        </w:tc>
        <w:tc>
          <w:tcPr>
            <w:tcW w:w="2265" w:type="dxa"/>
            <w:vAlign w:val="center"/>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rFonts w:ascii="Calibri" w:hAnsi="Calibri" w:cs="Calibri"/>
                <w:b/>
                <w:sz w:val="18"/>
                <w:szCs w:val="18"/>
              </w:rPr>
              <w:t>1.143.000,00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1.143.000,00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1.143.000,00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1.143.000,00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SPESE</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b/>
                <w:sz w:val="18"/>
                <w:szCs w:val="18"/>
              </w:rPr>
              <w:t>4.263.056,13</w:t>
            </w:r>
          </w:p>
        </w:tc>
        <w:tc>
          <w:tcPr>
            <w:tcW w:w="2310" w:type="dxa"/>
          </w:tcPr>
          <w:p w:rsidR="00816AF2" w:rsidRPr="009316DA" w:rsidRDefault="00A05F67">
            <w:pPr>
              <w:jc w:val="right"/>
              <w:cnfStyle w:val="000000000000" w:firstRow="0" w:lastRow="0" w:firstColumn="0" w:lastColumn="0" w:oddVBand="0" w:evenVBand="0" w:oddHBand="0" w:evenHBand="0" w:firstRowFirstColumn="0" w:firstRowLastColumn="0" w:lastRowFirstColumn="0" w:lastRowLastColumn="0"/>
            </w:pPr>
            <w:r w:rsidRPr="009316DA">
              <w:rPr>
                <w:b/>
                <w:sz w:val="18"/>
                <w:szCs w:val="18"/>
              </w:rPr>
              <w:t>7.787.964,78</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6.805.916,96</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6.657.822,80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6.637.330,59</w:t>
            </w:r>
          </w:p>
        </w:tc>
      </w:tr>
    </w:tbl>
    <w:p w:rsidR="00816AF2" w:rsidRDefault="00816AF2"/>
    <w:p w:rsidR="00563CDC" w:rsidRDefault="00563CDC">
      <w:pPr>
        <w:jc w:val="left"/>
      </w:pPr>
    </w:p>
    <w:p w:rsidR="006C0073" w:rsidRDefault="006C0073" w:rsidP="00EF4D57">
      <w:pPr>
        <w:sectPr w:rsidR="006C0073" w:rsidSect="00F960F1">
          <w:footerReference w:type="default" r:id="rId32"/>
          <w:pgSz w:w="16838" w:h="11906" w:orient="landscape"/>
          <w:pgMar w:top="1134" w:right="1418" w:bottom="1134" w:left="1134" w:header="709" w:footer="709" w:gutter="0"/>
          <w:cols w:space="708"/>
          <w:docGrid w:linePitch="360"/>
        </w:sectPr>
      </w:pPr>
    </w:p>
    <w:p w:rsidR="00EF4D57" w:rsidRDefault="00EF4D57" w:rsidP="00EF4D57">
      <w:pPr>
        <w:pStyle w:val="Titolo3"/>
      </w:pPr>
      <w:bookmarkStart w:id="14" w:name="_Toc496177138"/>
      <w:r w:rsidRPr="00EF4D57">
        <w:lastRenderedPageBreak/>
        <w:t>Organizzazione e modalità di gestione dei servizi</w:t>
      </w:r>
      <w:bookmarkEnd w:id="14"/>
    </w:p>
    <w:p w:rsidR="00EF4D57" w:rsidRDefault="00EF4D57" w:rsidP="00EF4D57"/>
    <w:p w:rsidR="00F12ACB" w:rsidRPr="0038662D" w:rsidRDefault="00F12ACB" w:rsidP="00F12ACB">
      <w:pPr>
        <w:widowControl w:val="0"/>
        <w:suppressAutoHyphens/>
        <w:spacing w:after="120" w:line="360" w:lineRule="auto"/>
        <w:rPr>
          <w:rFonts w:ascii="Calibri" w:eastAsia="Times New Roman" w:hAnsi="Calibri" w:cs="Times New Roman"/>
          <w:lang w:eastAsia="ar-SA"/>
        </w:rPr>
      </w:pPr>
      <w:r w:rsidRPr="0038662D">
        <w:rPr>
          <w:rFonts w:ascii="Calibri" w:eastAsia="Times New Roman" w:hAnsi="Calibri" w:cs="Times New Roman"/>
          <w:lang w:eastAsia="ar-SA"/>
        </w:rPr>
        <w:t>Per sua natura il Consorzio svolge esclusivamente funzioni amministrative e non gestisce pertanto attività aventi rilevanza economica e imprenditoriale; per l’ente consortile trovano applicazione, in quanto compatibili, le norme previste per gli Enti Locali in forza del combinato disposto dell’art. 31 comma 8 e dell’art. 140 del vigente T.U. Enti Locali approvato con il D.Lgs.n. 267/2000.</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r w:rsidRPr="0038662D">
        <w:rPr>
          <w:rFonts w:ascii="Calibri" w:eastAsia="Calibri" w:hAnsi="Calibri"/>
          <w:lang w:eastAsia="ar-SA"/>
        </w:rPr>
        <w:t>Più precisamente, il Consorzio esercita le funzioni di governo e coordinamento dell’organizzazione dei servizi di bacino e di ambito, assicurando la gestione unitaria dei rifiuti urbani nella fase di raccolta, avvio a recupero e smaltimento.</w:t>
      </w:r>
    </w:p>
    <w:p w:rsidR="00F12ACB" w:rsidRPr="0038662D" w:rsidRDefault="00F12ACB" w:rsidP="00F12ACB">
      <w:pPr>
        <w:tabs>
          <w:tab w:val="left" w:pos="0"/>
        </w:tabs>
        <w:spacing w:after="120" w:line="360" w:lineRule="auto"/>
        <w:rPr>
          <w:rFonts w:ascii="Calibri" w:hAnsi="Calibri"/>
          <w:i/>
          <w:u w:val="single"/>
        </w:rPr>
      </w:pPr>
      <w:r w:rsidRPr="0038662D">
        <w:rPr>
          <w:rFonts w:ascii="Calibri" w:hAnsi="Calibri"/>
          <w:i/>
          <w:u w:val="single"/>
        </w:rPr>
        <w:t>MODELLO DI GESTIONE DEI SERVIZI DI BACINO</w:t>
      </w:r>
    </w:p>
    <w:p w:rsidR="00F12ACB" w:rsidRPr="0038662D" w:rsidRDefault="00F12ACB" w:rsidP="00F12ACB">
      <w:pPr>
        <w:spacing w:before="120" w:line="360" w:lineRule="auto"/>
        <w:rPr>
          <w:rFonts w:ascii="Calibri" w:eastAsia="Calibri" w:hAnsi="Calibri"/>
        </w:rPr>
      </w:pPr>
      <w:r w:rsidRPr="0038662D">
        <w:rPr>
          <w:rFonts w:ascii="Calibri" w:eastAsia="Calibri" w:hAnsi="Calibri"/>
        </w:rPr>
        <w:t>Come noto, nel 2014 l’Assemblea consortile ha procrastinato la decisione sulla valutazione del modello gestionale di affidamento dei servizi di igiene urbana dell’ambito territoriale ottimale del Verbano Cusio Ossola ritenendo di programmare ogni determinazione entro la data di approvazione del budget 2015 della società Conservco spa, fissando, comunque, quale termine ultimo la data del 31 Dicembre 2015.</w:t>
      </w:r>
    </w:p>
    <w:p w:rsidR="00F12ACB" w:rsidRPr="0038662D" w:rsidRDefault="00F12ACB" w:rsidP="00F12ACB">
      <w:pPr>
        <w:spacing w:before="120" w:line="360" w:lineRule="auto"/>
        <w:rPr>
          <w:rFonts w:ascii="Calibri" w:eastAsia="Calibri" w:hAnsi="Calibri"/>
        </w:rPr>
      </w:pPr>
      <w:r w:rsidRPr="0038662D">
        <w:rPr>
          <w:rFonts w:ascii="Calibri" w:eastAsia="Calibri" w:hAnsi="Calibri"/>
        </w:rPr>
        <w:t>Ad oggi, vige affidamento diretto in favore della società Conservco spa, riconosciuto con approvazione della relazione prescritta dall’art. 34 comma 20 del D.L. n. 179/2012 convertito in legge n. 221/2012.</w:t>
      </w:r>
    </w:p>
    <w:p w:rsidR="00F12ACB" w:rsidRPr="0038662D" w:rsidRDefault="00F12ACB" w:rsidP="00F12ACB">
      <w:pPr>
        <w:spacing w:before="120" w:line="360" w:lineRule="auto"/>
        <w:rPr>
          <w:rFonts w:ascii="Calibri" w:eastAsia="Calibri" w:hAnsi="Calibri"/>
        </w:rPr>
      </w:pPr>
      <w:r w:rsidRPr="0038662D">
        <w:rPr>
          <w:rFonts w:ascii="Calibri" w:eastAsia="Calibri" w:hAnsi="Calibri"/>
        </w:rPr>
        <w:t>Nel luglio 2015, l’Assemblea consortile, dopo aver determinato che le funzioni (art. 3 bis comma 1 bis della legge n. 148/2011) di organizzazione dei servizi pubblici locali a rete di rilevanza economica, compresi quelli appartenenti al settore dei rifiuti urbani, di scelta della forma di gestione, di determinazione delle tariffe all’utenza per quanto di competenza, di affidamento della gestione e relativo controllo sono esercitate unicamente dagli enti di governo degli ambiti o bacini territoriali ottimali e omogenei, ovvero l’ente consortile, determinava l’assunzione del ruolo di  stazione appaltante in capo al Consorzio disponendo direttiva al Consiglio di Amministrazione e al Direttore di dare avvio alla procedura di gara per la selezione del socio privato operativo di ConserVCO SpA..</w:t>
      </w:r>
    </w:p>
    <w:p w:rsidR="00F12ACB" w:rsidRPr="0038662D" w:rsidRDefault="00F12ACB" w:rsidP="00F12ACB">
      <w:pPr>
        <w:spacing w:before="120" w:line="360" w:lineRule="auto"/>
        <w:rPr>
          <w:rFonts w:ascii="Calibri" w:eastAsia="Calibri" w:hAnsi="Calibri"/>
        </w:rPr>
      </w:pPr>
      <w:r w:rsidRPr="0038662D">
        <w:rPr>
          <w:rFonts w:ascii="Calibri" w:eastAsia="Calibri" w:hAnsi="Calibri"/>
        </w:rPr>
        <w:t>Al momento trova necessità di particolare e dedicato approfondimento sia la modalità di costituzione della società mista che soprattutto la definizione dei compiti operativi da attribuire al socio privato.</w:t>
      </w:r>
    </w:p>
    <w:p w:rsidR="00F12ACB" w:rsidRPr="0038662D" w:rsidRDefault="00F12ACB" w:rsidP="00F12ACB">
      <w:pPr>
        <w:spacing w:before="120" w:line="360" w:lineRule="auto"/>
        <w:rPr>
          <w:rFonts w:ascii="Calibri" w:eastAsia="Calibri" w:hAnsi="Calibri"/>
        </w:rPr>
      </w:pPr>
      <w:r w:rsidRPr="0038662D">
        <w:rPr>
          <w:rFonts w:ascii="Calibri" w:eastAsia="Calibri" w:hAnsi="Calibri"/>
        </w:rPr>
        <w:t>L’affidamento a ConSerVCO SpA dei servizi di raccolta e smaltimento rifiuti sono regolati da apposito Contratto di servizio sottoscritto nell’aprile 2015. Dopo le verifiche e validazioni da parte degli organi competenti in merito (Comitato di Controllo ed Assemblea consortile), è ora vigente articolato contrattuale tra le parti che si auspica determini un migliore confronto tra ente di governo ed affidatario dei servizi, con condiviso riconoscimento dei reciproci obblighi.</w:t>
      </w:r>
    </w:p>
    <w:p w:rsidR="009316DA" w:rsidRDefault="009316DA" w:rsidP="00F12ACB">
      <w:pPr>
        <w:spacing w:before="120" w:line="360" w:lineRule="auto"/>
        <w:rPr>
          <w:rFonts w:ascii="Calibri" w:eastAsia="Calibri" w:hAnsi="Calibri"/>
          <w:i/>
          <w:u w:val="single"/>
        </w:rPr>
      </w:pPr>
    </w:p>
    <w:p w:rsidR="00F12ACB" w:rsidRPr="0038662D" w:rsidRDefault="00F12ACB" w:rsidP="00F12ACB">
      <w:pPr>
        <w:spacing w:before="120" w:line="360" w:lineRule="auto"/>
        <w:rPr>
          <w:rFonts w:ascii="Calibri" w:eastAsia="Calibri" w:hAnsi="Calibri"/>
          <w:i/>
          <w:u w:val="single"/>
        </w:rPr>
      </w:pPr>
      <w:r w:rsidRPr="0038662D">
        <w:rPr>
          <w:rFonts w:ascii="Calibri" w:eastAsia="Calibri" w:hAnsi="Calibri"/>
          <w:i/>
          <w:u w:val="single"/>
        </w:rPr>
        <w:lastRenderedPageBreak/>
        <w:t>REGISTRO UNICO DEI DISSERVIZI ED ATTIVITA’ DI CONTROLLO E VIGILANZA</w:t>
      </w:r>
    </w:p>
    <w:p w:rsidR="00F12ACB" w:rsidRPr="0038662D" w:rsidRDefault="00F12ACB" w:rsidP="00F12ACB">
      <w:pPr>
        <w:spacing w:before="120" w:line="360" w:lineRule="auto"/>
        <w:rPr>
          <w:rFonts w:ascii="Calibri" w:eastAsia="Calibri" w:hAnsi="Calibri"/>
        </w:rPr>
      </w:pPr>
      <w:r w:rsidRPr="0038662D">
        <w:rPr>
          <w:rFonts w:ascii="Calibri" w:eastAsia="Calibri" w:hAnsi="Calibri"/>
        </w:rPr>
        <w:t>In ossequio a quanto previsto dal Contratto di servizio, il Consorzio cura la gestione del registro unico dei disservizi e, compatibilmente con le risorse in organico, svolge un’attenta ed accurata attività di sorveglianza sui servizi di igiene urbana affidati alla società ConserVCO SpA.</w:t>
      </w:r>
    </w:p>
    <w:p w:rsidR="00F12ACB" w:rsidRPr="0038662D" w:rsidRDefault="00F12ACB" w:rsidP="00F12ACB">
      <w:pPr>
        <w:spacing w:before="120" w:line="360" w:lineRule="auto"/>
        <w:rPr>
          <w:rFonts w:ascii="Calibri" w:eastAsia="Calibri" w:hAnsi="Calibri"/>
        </w:rPr>
      </w:pPr>
      <w:r w:rsidRPr="0038662D">
        <w:rPr>
          <w:rFonts w:ascii="Calibri" w:eastAsia="Calibri" w:hAnsi="Calibri"/>
        </w:rPr>
        <w:t xml:space="preserve">Il reparto tecnico del Consorzio, con la collaborazione della società ConserVCO SpA, nonchè delle altre aziende operanti sul territorio, monitora mensilmente l’andamento della raccolta differenziata di tutti i Comuni facenti parte del bacino gestendo i dati dei flussi di rifiuto.  </w:t>
      </w:r>
    </w:p>
    <w:p w:rsidR="00F12ACB" w:rsidRPr="0038662D" w:rsidRDefault="00F12ACB" w:rsidP="00F12ACB">
      <w:pPr>
        <w:spacing w:before="120" w:line="360" w:lineRule="auto"/>
        <w:rPr>
          <w:rFonts w:ascii="Calibri" w:eastAsia="Calibri" w:hAnsi="Calibri"/>
        </w:rPr>
      </w:pPr>
      <w:r w:rsidRPr="0038662D">
        <w:rPr>
          <w:rFonts w:ascii="Calibri" w:eastAsia="Calibri" w:hAnsi="Calibri"/>
        </w:rPr>
        <w:t xml:space="preserve">Ove richiesto, considerato profilo sovente autoreferenziale assunto dal gestore verso i Comuni, gli uffici consortili collaborano, in ossequio al vigente contratto di servizio, con le Amministrazioni comunali nelle verifiche tecniche ed economiche afferenti alla riorganizzazione e potenziamento dei servizi di raccolta rifiuti. </w:t>
      </w:r>
    </w:p>
    <w:p w:rsidR="00F12ACB" w:rsidRPr="0038662D" w:rsidRDefault="00F12ACB" w:rsidP="00F12ACB">
      <w:pPr>
        <w:spacing w:before="120" w:line="360" w:lineRule="auto"/>
        <w:rPr>
          <w:rFonts w:ascii="Calibri" w:eastAsia="Calibri" w:hAnsi="Calibri"/>
        </w:rPr>
      </w:pPr>
      <w:r w:rsidRPr="0038662D">
        <w:rPr>
          <w:rFonts w:ascii="Calibri" w:eastAsia="Calibri" w:hAnsi="Calibri"/>
        </w:rPr>
        <w:t xml:space="preserve">Gestita dal Consorzio è inoltre l’attività di rendicontazione dei dati di flusso rifiuti tramite il sistema regionale Rupar, nonché la redazione per i Comuni del Mud (Modello unico di dichiarazione). </w:t>
      </w:r>
    </w:p>
    <w:p w:rsidR="00F12ACB" w:rsidRPr="0038662D" w:rsidRDefault="00F12ACB" w:rsidP="00F12ACB">
      <w:pPr>
        <w:tabs>
          <w:tab w:val="left" w:pos="0"/>
        </w:tabs>
        <w:spacing w:after="120" w:line="360" w:lineRule="auto"/>
        <w:rPr>
          <w:rFonts w:ascii="Calibri" w:hAnsi="Calibri"/>
          <w:i/>
          <w:u w:val="single"/>
        </w:rPr>
      </w:pPr>
      <w:r w:rsidRPr="0038662D">
        <w:rPr>
          <w:rFonts w:ascii="Calibri" w:hAnsi="Calibri"/>
          <w:i/>
          <w:u w:val="single"/>
        </w:rPr>
        <w:t xml:space="preserve">ATTIVITA’ DI CONTROLLO ANALOGO </w:t>
      </w:r>
    </w:p>
    <w:p w:rsidR="00F12ACB" w:rsidRPr="0038662D" w:rsidRDefault="00F12ACB" w:rsidP="00F12ACB">
      <w:pPr>
        <w:spacing w:before="120" w:line="360" w:lineRule="auto"/>
        <w:rPr>
          <w:rFonts w:ascii="Calibri" w:eastAsia="Calibri" w:hAnsi="Calibri"/>
        </w:rPr>
      </w:pPr>
      <w:r w:rsidRPr="0038662D">
        <w:rPr>
          <w:rFonts w:ascii="Calibri" w:eastAsia="Calibri" w:hAnsi="Calibri"/>
        </w:rPr>
        <w:t xml:space="preserve">Il Consorzio presiede il Comitato di Controllo e di Coordinamento e provvede, in conformità ai disposti dell’articolo 14 dello statuto della società, al controllo degli atti societari rilasciando i previsti propedeutici pareri istruttori in favore dell’Assemblea consortile dei sindaci, titolare effettivo della funzione.   </w:t>
      </w:r>
    </w:p>
    <w:p w:rsidR="00F12ACB" w:rsidRPr="0038662D" w:rsidRDefault="00F12ACB" w:rsidP="00F12ACB">
      <w:pPr>
        <w:tabs>
          <w:tab w:val="left" w:pos="0"/>
        </w:tabs>
        <w:spacing w:after="120" w:line="360" w:lineRule="auto"/>
        <w:rPr>
          <w:rFonts w:ascii="Calibri" w:hAnsi="Calibri"/>
          <w:i/>
          <w:u w:val="single"/>
        </w:rPr>
      </w:pPr>
      <w:r w:rsidRPr="0038662D">
        <w:rPr>
          <w:rFonts w:ascii="Calibri" w:hAnsi="Calibri"/>
          <w:i/>
          <w:u w:val="single"/>
        </w:rPr>
        <w:t xml:space="preserve">IMPIANTI D’AMBITO </w:t>
      </w:r>
    </w:p>
    <w:p w:rsidR="00F12ACB" w:rsidRPr="0038662D" w:rsidRDefault="00F12ACB" w:rsidP="00F12ACB">
      <w:pPr>
        <w:spacing w:before="120" w:line="360" w:lineRule="auto"/>
        <w:rPr>
          <w:rFonts w:ascii="Calibri" w:eastAsia="Calibri" w:hAnsi="Calibri"/>
        </w:rPr>
      </w:pPr>
      <w:r w:rsidRPr="0038662D">
        <w:rPr>
          <w:rFonts w:ascii="Calibri" w:eastAsia="Calibri" w:hAnsi="Calibri"/>
        </w:rPr>
        <w:t>A seguito delle determinazioni assunte da parte degli enti competenti, nel corso del 2016 è proseguito lo stato di sospensione operativa dell’impianto di tmv in Mergozzo.</w:t>
      </w:r>
    </w:p>
    <w:p w:rsidR="00F12ACB" w:rsidRPr="0038662D" w:rsidRDefault="00F12ACB" w:rsidP="00F12ACB">
      <w:pPr>
        <w:spacing w:before="120" w:line="360" w:lineRule="auto"/>
        <w:rPr>
          <w:rFonts w:ascii="Calibri" w:eastAsia="Calibri" w:hAnsi="Calibri"/>
        </w:rPr>
      </w:pPr>
      <w:r w:rsidRPr="0038662D">
        <w:rPr>
          <w:rFonts w:ascii="Calibri" w:eastAsia="Calibri" w:hAnsi="Calibri"/>
        </w:rPr>
        <w:t xml:space="preserve">Il gestore ConSerVCO SpA ha dato corso alle procedure intese a rinnovo delle autorizzazioni ambientali integrate per garantire, nel periodo autorizzato, l’eventuale ripresa del ciclo operativo nel rispetto delle migliori condizioni impiantistiche. </w:t>
      </w:r>
    </w:p>
    <w:p w:rsidR="00F12ACB" w:rsidRPr="0038662D" w:rsidRDefault="00F12ACB" w:rsidP="00F12ACB">
      <w:pPr>
        <w:spacing w:before="120" w:line="360" w:lineRule="auto"/>
        <w:rPr>
          <w:rFonts w:ascii="Calibri" w:eastAsia="Calibri" w:hAnsi="Calibri"/>
        </w:rPr>
      </w:pPr>
      <w:r w:rsidRPr="0038662D">
        <w:rPr>
          <w:rFonts w:ascii="Calibri" w:eastAsia="Calibri" w:hAnsi="Calibri"/>
        </w:rPr>
        <w:t>Relativamente agli interventi di adeguamento strutturale del centro di trattamento in Mergozzo, il Consorzio ha provveduto e provvederà nel corso dell’anno 2017, ove richiesto, a coadiuvare gli enti competenti nella migliore programmazione che dovrà condurre alla realizzazione degli investimenti da tempo attesi a garantire migliore funzionalità.</w:t>
      </w:r>
    </w:p>
    <w:p w:rsidR="00F12ACB" w:rsidRPr="0038662D" w:rsidRDefault="00F12ACB" w:rsidP="00F12ACB">
      <w:pPr>
        <w:spacing w:before="120" w:line="360" w:lineRule="auto"/>
        <w:rPr>
          <w:rFonts w:ascii="Calibri" w:eastAsia="Calibri" w:hAnsi="Calibri"/>
        </w:rPr>
      </w:pPr>
      <w:r w:rsidRPr="0038662D">
        <w:rPr>
          <w:rFonts w:ascii="Calibri" w:eastAsia="Calibri" w:hAnsi="Calibri"/>
        </w:rPr>
        <w:t xml:space="preserve">Il Consorzio inoltre, per competenza in merito alla procedura di bonifica del sito di discarica consortile di Domodossola iscritto all’anagrafe regionale, prosegue nell’attività di monitoraggio delle acque sotterranee provvedendo a stesura della relativa relazione tecnica annuale. </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p>
    <w:p w:rsidR="00F12ACB" w:rsidRPr="0038662D" w:rsidRDefault="00F12ACB" w:rsidP="00F12ACB">
      <w:pPr>
        <w:tabs>
          <w:tab w:val="left" w:pos="0"/>
        </w:tabs>
        <w:spacing w:after="120" w:line="360" w:lineRule="auto"/>
        <w:rPr>
          <w:rFonts w:ascii="Calibri" w:hAnsi="Calibri"/>
          <w:i/>
          <w:u w:val="single"/>
        </w:rPr>
      </w:pPr>
      <w:r w:rsidRPr="0038662D">
        <w:rPr>
          <w:rFonts w:ascii="Calibri" w:hAnsi="Calibri"/>
          <w:i/>
          <w:u w:val="single"/>
        </w:rPr>
        <w:t xml:space="preserve">ATTIVITA’ INFORMATIVE E DI SENSIBILIZZAZIONE </w:t>
      </w:r>
    </w:p>
    <w:p w:rsidR="00F12ACB" w:rsidRPr="0038662D" w:rsidRDefault="009316DA" w:rsidP="00F12ACB">
      <w:pPr>
        <w:spacing w:before="120" w:line="360" w:lineRule="auto"/>
        <w:rPr>
          <w:rFonts w:ascii="Calibri" w:eastAsia="Calibri" w:hAnsi="Calibri"/>
        </w:rPr>
      </w:pPr>
      <w:r>
        <w:rPr>
          <w:rFonts w:ascii="Calibri" w:eastAsia="Calibri" w:hAnsi="Calibri"/>
        </w:rPr>
        <w:t>Nell’anno 2018</w:t>
      </w:r>
      <w:r w:rsidR="00F12ACB" w:rsidRPr="0038662D">
        <w:rPr>
          <w:rFonts w:ascii="Calibri" w:eastAsia="Calibri" w:hAnsi="Calibri"/>
        </w:rPr>
        <w:t xml:space="preserve"> proseguiranno le attività di informazione e sensibilizzazione rivolte a tutti i Comuni dell’ambito. </w:t>
      </w:r>
    </w:p>
    <w:p w:rsidR="00F12ACB" w:rsidRPr="0038662D" w:rsidRDefault="00F12ACB" w:rsidP="00F12ACB">
      <w:pPr>
        <w:spacing w:before="120" w:line="360" w:lineRule="auto"/>
        <w:rPr>
          <w:rFonts w:ascii="Calibri" w:eastAsia="Calibri" w:hAnsi="Calibri"/>
        </w:rPr>
      </w:pPr>
      <w:r w:rsidRPr="0038662D">
        <w:rPr>
          <w:rFonts w:ascii="Calibri" w:eastAsia="Calibri" w:hAnsi="Calibri"/>
        </w:rPr>
        <w:t xml:space="preserve">Entro il primo semestre potrà quindi disporsi campagna comunicativa di rafforzamento sul tema della raccolta differenziata che, potendo contare su modi di raccolta (per tipologie di rifiuto) uniformi, consentirà utilizzo di mezzi ed attività eguali per tutti i Comuni.  </w:t>
      </w:r>
    </w:p>
    <w:p w:rsidR="00F12ACB" w:rsidRPr="0038662D" w:rsidRDefault="00F12ACB" w:rsidP="00F12ACB">
      <w:pPr>
        <w:tabs>
          <w:tab w:val="left" w:pos="0"/>
        </w:tabs>
        <w:spacing w:after="120" w:line="360" w:lineRule="auto"/>
        <w:rPr>
          <w:rFonts w:ascii="Calibri" w:hAnsi="Calibri" w:cs="Tahoma"/>
          <w:i/>
          <w:u w:val="single"/>
        </w:rPr>
      </w:pPr>
      <w:r w:rsidRPr="0038662D">
        <w:rPr>
          <w:rFonts w:ascii="Calibri" w:hAnsi="Calibri" w:cs="Tahoma"/>
          <w:i/>
          <w:u w:val="single"/>
        </w:rPr>
        <w:t xml:space="preserve">GESTIONE SERVIZI DI ACCERTAMENTO E RISCOSSIONE TIA-TARES-TARI - COMUNI DI VERBANIA – STRESA  e  CREVOLADOSSOLA </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r w:rsidRPr="0038662D">
        <w:rPr>
          <w:rFonts w:ascii="Calibri" w:eastAsia="Calibri" w:hAnsi="Calibri"/>
          <w:lang w:eastAsia="ar-SA"/>
        </w:rPr>
        <w:t>Una rilevante parte dell’attività consortile riguarda la gestione totale e/o parziale dei servizi legati ai piani economici finanziari e alla gestione della TIA/TARES/TARI per i Comuni di Stresa e Crevoladossola comprendenti le seguenti funzioni:</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r w:rsidRPr="0038662D">
        <w:rPr>
          <w:rFonts w:ascii="Calibri" w:eastAsia="Calibri" w:hAnsi="Calibri"/>
          <w:lang w:eastAsia="ar-SA"/>
        </w:rPr>
        <w:t>-predisposizione annuale dei piani finanziari TARI;</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r w:rsidRPr="0038662D">
        <w:rPr>
          <w:rFonts w:ascii="Calibri" w:eastAsia="Calibri" w:hAnsi="Calibri"/>
          <w:lang w:eastAsia="ar-SA"/>
        </w:rPr>
        <w:t>-predisposizione e costante aggiornamento del regolamento per l’applicazione del tributo TARI;</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r w:rsidRPr="0038662D">
        <w:rPr>
          <w:rFonts w:ascii="Calibri" w:eastAsia="Calibri" w:hAnsi="Calibri"/>
          <w:lang w:eastAsia="ar-SA"/>
        </w:rPr>
        <w:t>-calcolo annuale del tributo tramite l’apposito software gestionale e predisposizione ed adeguamento delle banche dati informatiche e cartacee;</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r w:rsidRPr="0038662D">
        <w:rPr>
          <w:rFonts w:ascii="Calibri" w:eastAsia="Calibri" w:hAnsi="Calibri"/>
          <w:lang w:eastAsia="ar-SA"/>
        </w:rPr>
        <w:t>-predisposizione degli avvisi di pagamento per la successiva stampa e distribuzione;</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r w:rsidRPr="0038662D">
        <w:rPr>
          <w:rFonts w:ascii="Calibri" w:eastAsia="Calibri" w:hAnsi="Calibri"/>
          <w:lang w:eastAsia="ar-SA"/>
        </w:rPr>
        <w:t>-verifica degli incassi relativi agli avvisi di pagamento e rendicontazione dell’addizionale provinciale;</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r w:rsidRPr="0038662D">
        <w:rPr>
          <w:rFonts w:ascii="Calibri" w:eastAsia="Calibri" w:hAnsi="Calibri"/>
          <w:lang w:eastAsia="ar-SA"/>
        </w:rPr>
        <w:t>-gestione delle dilazioni di pagamento e dei solleciti;</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r w:rsidRPr="0038662D">
        <w:rPr>
          <w:rFonts w:ascii="Calibri" w:eastAsia="Calibri" w:hAnsi="Calibri"/>
          <w:lang w:eastAsia="ar-SA"/>
        </w:rPr>
        <w:t>-gestione ed emissione di tutti gli atti relativi a sgravi e rimborsi;</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r w:rsidRPr="0038662D">
        <w:rPr>
          <w:rFonts w:ascii="Calibri" w:eastAsia="Calibri" w:hAnsi="Calibri"/>
          <w:lang w:eastAsia="ar-SA"/>
        </w:rPr>
        <w:t>-emissione avvisi di accertamento per omesso/infedele pagamento e per omessa/infedele denuncia;</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r w:rsidRPr="0038662D">
        <w:rPr>
          <w:rFonts w:ascii="Calibri" w:eastAsia="Calibri" w:hAnsi="Calibri"/>
          <w:lang w:eastAsia="ar-SA"/>
        </w:rPr>
        <w:t>-supporto alla gestione del contenzioso tributario;</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r w:rsidRPr="0038662D">
        <w:rPr>
          <w:rFonts w:ascii="Calibri" w:eastAsia="Calibri" w:hAnsi="Calibri"/>
          <w:lang w:eastAsia="ar-SA"/>
        </w:rPr>
        <w:t>-gestione sportelli di front-office: l’attività di front office opera prevalentemente presso le sedi comunali preposte. L’attività di sportello prevede l’accettazione delle utenze e la compilazione della modulistica atta all’aggiornamento dei dati funzionali al computo del tributo. Si danno informazioni in merito alla modalità di calcolo e si effettuano verifiche sulle bollette recapitate ai contribuenti dando indicazioni in merito alla forme di pagamento. Si predispongono duplicati di avvisi di pagamento con gli annessi F24. Si acquisiscono documenti quali: modulistica per riduzioni tariffarie, verbali planimetrici, corrispondenza di varia natura indirizzata al Consorzio e/o al Comune, reclami dei contribuenti, istanze di riesame anche per gli atti di accertamento, istanze di rimborso, richieste di dilazione, ecc….</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r w:rsidRPr="0038662D">
        <w:rPr>
          <w:rFonts w:ascii="Calibri" w:eastAsia="Calibri" w:hAnsi="Calibri"/>
          <w:lang w:eastAsia="ar-SA"/>
        </w:rPr>
        <w:lastRenderedPageBreak/>
        <w:t>-sopralluoghi in loco per accertamento superfici: attività fondamentale per il corretto computo del tributo è la verifica ed il successivo accertamento delle superfici occupate, possedute o detenute dai contribuenti. Tale attività viene svolta nell’ambito dell’istruttoria attivata presso gli sportelli di front e back office o mediante sopralluoghi in loco previa autorizzazione del contribuente.</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r w:rsidRPr="0038662D">
        <w:rPr>
          <w:rFonts w:ascii="Calibri" w:eastAsia="Calibri" w:hAnsi="Calibri"/>
          <w:lang w:eastAsia="ar-SA"/>
        </w:rPr>
        <w:t>-gestione POS e tessere rifiuti per l’accesso alle aree ecologiche e il ritiro dei sacchi “standardizzati” per i rifiuti indifferenziati: per conto del Comune di Stresa gestisce la fase manuale di distribuzione annuale dei standardizzati” per i rifiuti indifferenziati ed informatica mensile di scarico dei POS;</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r w:rsidRPr="0038662D">
        <w:rPr>
          <w:rFonts w:ascii="Calibri" w:eastAsia="Calibri" w:hAnsi="Calibri"/>
          <w:lang w:eastAsia="ar-SA"/>
        </w:rPr>
        <w:t>-analisi produzione rifiuti speciali e rifiuti assimilati agli urbani al fine della determinazione del tributo;</w:t>
      </w:r>
    </w:p>
    <w:p w:rsidR="00F12ACB" w:rsidRPr="0038662D" w:rsidRDefault="00F12ACB" w:rsidP="00F12ACB">
      <w:pPr>
        <w:widowControl w:val="0"/>
        <w:tabs>
          <w:tab w:val="left" w:pos="3686"/>
        </w:tabs>
        <w:suppressAutoHyphens/>
        <w:spacing w:after="120" w:line="360" w:lineRule="auto"/>
        <w:rPr>
          <w:rFonts w:ascii="Calibri" w:eastAsia="Calibri" w:hAnsi="Calibri"/>
          <w:lang w:eastAsia="ar-SA"/>
        </w:rPr>
      </w:pPr>
      <w:r w:rsidRPr="0038662D">
        <w:rPr>
          <w:rFonts w:ascii="Calibri" w:eastAsia="Calibri" w:hAnsi="Calibri"/>
          <w:lang w:eastAsia="ar-SA"/>
        </w:rPr>
        <w:t>Sui ruoli TIA 2010/2012 risultanti ancora insoluti, non solo per i Comuni di Stresa e Crevoladossola ma anche per quelli Comuni di Verbania e Gravellona Toce, gestisce attività di emissione accertamenti ed ingiunzioni fiscali ai sensi del R.D. 639/1910</w:t>
      </w:r>
    </w:p>
    <w:p w:rsidR="00F12ACB" w:rsidRPr="0038662D" w:rsidRDefault="00F12ACB" w:rsidP="00F12ACB"/>
    <w:p w:rsidR="00F12ACB" w:rsidRDefault="00F12ACB" w:rsidP="00F12ACB"/>
    <w:p w:rsidR="00F12ACB" w:rsidRDefault="00F12ACB" w:rsidP="00F12ACB"/>
    <w:p w:rsidR="00F12ACB" w:rsidRDefault="00F12ACB" w:rsidP="00F12ACB"/>
    <w:p w:rsidR="00F12ACB" w:rsidRDefault="00F12ACB" w:rsidP="00F12ACB"/>
    <w:p w:rsidR="00F12ACB" w:rsidRDefault="00F12ACB" w:rsidP="00F12ACB"/>
    <w:p w:rsidR="00F12ACB" w:rsidRDefault="00F12ACB" w:rsidP="00F12ACB"/>
    <w:p w:rsidR="00F12ACB" w:rsidRDefault="00F12ACB" w:rsidP="00F12ACB"/>
    <w:p w:rsidR="00F12ACB" w:rsidRDefault="00F12ACB" w:rsidP="00F12ACB"/>
    <w:p w:rsidR="00F12ACB" w:rsidRDefault="00F12ACB" w:rsidP="00F12ACB"/>
    <w:p w:rsidR="00F12ACB" w:rsidRDefault="00F12ACB" w:rsidP="00F12ACB"/>
    <w:p w:rsidR="00F12ACB" w:rsidRDefault="00F12ACB" w:rsidP="00F12ACB"/>
    <w:p w:rsidR="00F12ACB" w:rsidRDefault="00F12ACB" w:rsidP="00F12ACB"/>
    <w:p w:rsidR="00F12ACB" w:rsidRDefault="00F12ACB" w:rsidP="00F12ACB"/>
    <w:p w:rsidR="00F12ACB" w:rsidRDefault="00F12ACB" w:rsidP="00F12ACB"/>
    <w:p w:rsidR="00F12ACB" w:rsidRDefault="00F12ACB" w:rsidP="00F12ACB"/>
    <w:p w:rsidR="00F12ACB" w:rsidRDefault="00F12ACB" w:rsidP="00F12ACB"/>
    <w:p w:rsidR="00F12ACB" w:rsidRDefault="00F12ACB" w:rsidP="00F12ACB"/>
    <w:p w:rsidR="00F12ACB" w:rsidRDefault="00F12ACB" w:rsidP="00F12ACB"/>
    <w:p w:rsidR="00F12ACB" w:rsidRPr="0038662D" w:rsidRDefault="00F12ACB" w:rsidP="00F12ACB">
      <w:pPr>
        <w:keepNext/>
        <w:keepLines/>
        <w:numPr>
          <w:ilvl w:val="2"/>
          <w:numId w:val="1"/>
        </w:numPr>
        <w:spacing w:before="200" w:after="0"/>
        <w:outlineLvl w:val="2"/>
        <w:rPr>
          <w:rFonts w:asciiTheme="majorHAnsi" w:eastAsiaTheme="majorEastAsia" w:hAnsiTheme="majorHAnsi" w:cstheme="majorBidi"/>
          <w:b/>
          <w:bCs/>
          <w:sz w:val="32"/>
          <w:szCs w:val="32"/>
        </w:rPr>
      </w:pPr>
      <w:r w:rsidRPr="0038662D">
        <w:rPr>
          <w:rFonts w:asciiTheme="majorHAnsi" w:eastAsiaTheme="majorEastAsia" w:hAnsiTheme="majorHAnsi" w:cstheme="majorBidi"/>
          <w:b/>
          <w:bCs/>
          <w:sz w:val="32"/>
          <w:szCs w:val="32"/>
        </w:rPr>
        <w:t>Situazione economica e finanziaria degli organismi partecipati</w:t>
      </w:r>
    </w:p>
    <w:p w:rsidR="00F12ACB" w:rsidRPr="0038662D" w:rsidRDefault="00F12ACB" w:rsidP="00F12ACB"/>
    <w:p w:rsidR="00F12ACB" w:rsidRPr="0038662D" w:rsidRDefault="00F12ACB" w:rsidP="00F12ACB">
      <w:r w:rsidRPr="0038662D">
        <w:t>Il CdA del Consorzio con proprio atto n. 10 del 1° aprile 2016, ai fini degli obblighi di legge in materia di armonizzazione contabile, ha individuato, ai fini della redazione del bilancio consolidato anno 2016 quali componenti del gruppo di amministrazione pubblica COUB VCO, oltre al COUB VCO capogruppo, i seguenti organismi partecipati:</w:t>
      </w:r>
    </w:p>
    <w:p w:rsidR="00F12ACB" w:rsidRPr="0038662D" w:rsidRDefault="00F12ACB" w:rsidP="00F12ACB">
      <w:r w:rsidRPr="0038662D">
        <w:t>-CONSERVCO SPA – con una partecipazione del 3,74%-VCO SERVIZI SRL in liquidazione –con una partecipazione del 4,99%</w:t>
      </w:r>
    </w:p>
    <w:p w:rsidR="00F12ACB" w:rsidRPr="0038662D" w:rsidRDefault="00F12ACB" w:rsidP="00F12ACB">
      <w:r w:rsidRPr="0038662D">
        <w:t>Ha inoltre effettuato la verifica della sussistenza dei requisiti per l’eventuale esclusione degli organismi dal perimetro di consolidamento secondo il criterio della rilevanza (in termine di bilancio) e secondo il criterio dell’impossibilità a reperire le informazioni necessarie al consolidamento in tempo ragionevoli e senza spese sproporzionate.</w:t>
      </w:r>
    </w:p>
    <w:p w:rsidR="00F12ACB" w:rsidRPr="0038662D" w:rsidRDefault="00F12ACB" w:rsidP="00F12ACB">
      <w:r w:rsidRPr="0038662D">
        <w:t>Da detta verifica è risultato che non vi sono società partecipate dirette da comprendere nell’area di consolidamento del bilancio.</w:t>
      </w:r>
    </w:p>
    <w:p w:rsidR="00F12ACB" w:rsidRDefault="00F12ACB" w:rsidP="00F12ACB"/>
    <w:p w:rsidR="00F12ACB" w:rsidRDefault="00F12ACB" w:rsidP="00F12ACB"/>
    <w:p w:rsidR="00F12ACB" w:rsidRDefault="00F12ACB" w:rsidP="00F12ACB"/>
    <w:p w:rsidR="00F12ACB" w:rsidRDefault="00F12ACB" w:rsidP="00F12ACB"/>
    <w:p w:rsidR="00F12ACB" w:rsidRDefault="00F12ACB"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F12ACB"/>
    <w:p w:rsidR="007C7A4A" w:rsidRDefault="007C7A4A" w:rsidP="007C7A4A">
      <w:pPr>
        <w:pStyle w:val="Titolo2"/>
        <w:numPr>
          <w:ilvl w:val="0"/>
          <w:numId w:val="0"/>
        </w:numPr>
      </w:pPr>
      <w:r>
        <w:t xml:space="preserve">2.3 </w:t>
      </w:r>
      <w:r w:rsidRPr="00FD7BFD">
        <w:t xml:space="preserve">Indirizzi e </w:t>
      </w:r>
      <w:r>
        <w:t>temi</w:t>
      </w:r>
      <w:r w:rsidRPr="00FD7BFD">
        <w:t xml:space="preserve"> strategici</w:t>
      </w:r>
    </w:p>
    <w:p w:rsidR="007C7A4A" w:rsidRDefault="007C7A4A" w:rsidP="007C7A4A">
      <w:pPr>
        <w:jc w:val="center"/>
      </w:pPr>
    </w:p>
    <w:p w:rsidR="007C7A4A" w:rsidRDefault="007C7A4A" w:rsidP="007C7A4A">
      <w:pPr>
        <w:jc w:val="center"/>
      </w:pPr>
    </w:p>
    <w:p w:rsidR="007C7A4A" w:rsidRDefault="007C7A4A" w:rsidP="007C7A4A">
      <w:pPr>
        <w:jc w:val="center"/>
      </w:pPr>
    </w:p>
    <w:p w:rsidR="007C7A4A" w:rsidRDefault="007C7A4A" w:rsidP="007C7A4A">
      <w:pPr>
        <w:jc w:val="center"/>
      </w:pPr>
    </w:p>
    <w:p w:rsidR="007C7A4A" w:rsidRDefault="007C7A4A" w:rsidP="007C7A4A">
      <w:pPr>
        <w:jc w:val="center"/>
      </w:pPr>
    </w:p>
    <w:p w:rsidR="007C7A4A" w:rsidRDefault="007C7A4A" w:rsidP="007C7A4A">
      <w:pPr>
        <w:jc w:val="center"/>
      </w:pPr>
    </w:p>
    <w:p w:rsidR="007C7A4A" w:rsidRDefault="007C7A4A" w:rsidP="007C7A4A">
      <w:pPr>
        <w:jc w:val="center"/>
      </w:pPr>
    </w:p>
    <w:p w:rsidR="007C7A4A" w:rsidRDefault="007C7A4A" w:rsidP="007C7A4A">
      <w:pPr>
        <w:jc w:val="center"/>
      </w:pPr>
    </w:p>
    <w:p w:rsidR="007C7A4A" w:rsidRDefault="007C7A4A" w:rsidP="007C7A4A">
      <w:pPr>
        <w:jc w:val="center"/>
      </w:pPr>
    </w:p>
    <w:p w:rsidR="007C7A4A" w:rsidRDefault="007C7A4A" w:rsidP="007C7A4A">
      <w:pPr>
        <w:jc w:val="center"/>
      </w:pPr>
    </w:p>
    <w:p w:rsidR="007C7A4A" w:rsidRDefault="007C7A4A" w:rsidP="007C7A4A">
      <w:pPr>
        <w:jc w:val="center"/>
      </w:pPr>
    </w:p>
    <w:p w:rsidR="007C7A4A" w:rsidRDefault="007C7A4A" w:rsidP="007C7A4A">
      <w:pPr>
        <w:jc w:val="center"/>
      </w:pPr>
    </w:p>
    <w:p w:rsidR="007C7A4A" w:rsidRDefault="007C7A4A" w:rsidP="007C7A4A">
      <w:pPr>
        <w:jc w:val="center"/>
      </w:pPr>
    </w:p>
    <w:p w:rsidR="007C7A4A" w:rsidRDefault="007C7A4A" w:rsidP="007C7A4A">
      <w:pPr>
        <w:jc w:val="center"/>
      </w:pPr>
    </w:p>
    <w:p w:rsidR="007C7A4A" w:rsidRDefault="007C7A4A" w:rsidP="007C7A4A">
      <w:pPr>
        <w:jc w:val="center"/>
      </w:pPr>
    </w:p>
    <w:p w:rsidR="007C7A4A" w:rsidRDefault="007C7A4A" w:rsidP="007C7A4A">
      <w:pPr>
        <w:jc w:val="center"/>
      </w:pPr>
    </w:p>
    <w:p w:rsidR="007C7A4A" w:rsidRDefault="007C7A4A" w:rsidP="007C7A4A">
      <w:pPr>
        <w:jc w:val="center"/>
      </w:pPr>
    </w:p>
    <w:p w:rsidR="007C7A4A" w:rsidRPr="00DB1BE6" w:rsidRDefault="007C7A4A" w:rsidP="007C7A4A">
      <w:pPr>
        <w:pStyle w:val="Titolo3"/>
        <w:numPr>
          <w:ilvl w:val="0"/>
          <w:numId w:val="0"/>
        </w:numPr>
      </w:pPr>
      <w:r>
        <w:t>2.3.1</w:t>
      </w:r>
      <w:r w:rsidRPr="00DB1BE6">
        <w:t>Il piano di governo</w:t>
      </w:r>
    </w:p>
    <w:p w:rsidR="007C7A4A" w:rsidRPr="00DB1BE6" w:rsidRDefault="007C7A4A" w:rsidP="007C7A4A"/>
    <w:p w:rsidR="007C7A4A" w:rsidRPr="00DB1BE6" w:rsidRDefault="007C7A4A" w:rsidP="007C7A4A">
      <w:r w:rsidRPr="00DB1BE6">
        <w:t>Il perseguimento delle finalità del Consorzio avviene attraverso un’attività di programmazione che prevede un processo di analisi e valutazione, nel rispetto delle compatibilità economiche-finanziarie, della possibile evoluzione della gestione dell’Ente e si conclude con la formalizzazione delle decisioni politiche e gestionali che danno contenuto ai piani e programma futuri. Essa rappresenta il “contratto” che il governo politico dell’Ente assume nei confronti dei Comuni Consorziati, i quali devono disporre delle informazioni necessarie per valutare gli impegni politici e le decisioni conseguenti, il loro onere e, in sede di rendiconto, il grado di mantenimento degli stessi.</w:t>
      </w:r>
    </w:p>
    <w:p w:rsidR="007C7A4A" w:rsidRPr="0038662D" w:rsidRDefault="007C7A4A" w:rsidP="00FA72DF">
      <w:pPr>
        <w:sectPr w:rsidR="007C7A4A" w:rsidRPr="0038662D" w:rsidSect="00895D3F">
          <w:footerReference w:type="default" r:id="rId33"/>
          <w:pgSz w:w="11906" w:h="16838"/>
          <w:pgMar w:top="1418" w:right="1134" w:bottom="1134" w:left="1134" w:header="709" w:footer="709" w:gutter="0"/>
          <w:cols w:space="708"/>
          <w:docGrid w:linePitch="360"/>
        </w:sectPr>
      </w:pPr>
    </w:p>
    <w:p w:rsidR="00EB58C0" w:rsidRDefault="00EB58C0" w:rsidP="00EF4D57">
      <w:pPr>
        <w:sectPr w:rsidR="00EB58C0" w:rsidSect="00895D3F">
          <w:footerReference w:type="default" r:id="rId34"/>
          <w:pgSz w:w="11906" w:h="16838"/>
          <w:pgMar w:top="1418" w:right="1134" w:bottom="1134" w:left="1134" w:header="709" w:footer="709" w:gutter="0"/>
          <w:cols w:space="708"/>
          <w:docGrid w:linePitch="360"/>
        </w:sectPr>
      </w:pPr>
    </w:p>
    <w:p w:rsidR="00345E58" w:rsidRDefault="00345E58" w:rsidP="00F608C9">
      <w:pPr>
        <w:sectPr w:rsidR="00345E58" w:rsidSect="00895D3F">
          <w:pgSz w:w="11906" w:h="16838"/>
          <w:pgMar w:top="1418" w:right="1134" w:bottom="1134" w:left="1134" w:header="709" w:footer="709" w:gutter="0"/>
          <w:cols w:space="708"/>
          <w:docGrid w:linePitch="360"/>
        </w:sectPr>
      </w:pPr>
    </w:p>
    <w:p w:rsidR="00F608C9" w:rsidRDefault="00F608C9" w:rsidP="00F608C9">
      <w:pPr>
        <w:sectPr w:rsidR="00F608C9" w:rsidSect="00F608C9">
          <w:pgSz w:w="11906" w:h="16838"/>
          <w:pgMar w:top="1418" w:right="1134" w:bottom="1134" w:left="1134" w:header="709" w:footer="709" w:gutter="0"/>
          <w:cols w:space="708"/>
          <w:vAlign w:val="center"/>
          <w:docGrid w:linePitch="360"/>
        </w:sectPr>
      </w:pPr>
    </w:p>
    <w:p w:rsidR="001864F2" w:rsidRPr="006952B0" w:rsidRDefault="001864F2" w:rsidP="00FA72DF">
      <w:pPr>
        <w:pStyle w:val="Titolo3"/>
        <w:numPr>
          <w:ilvl w:val="0"/>
          <w:numId w:val="0"/>
        </w:numPr>
        <w:sectPr w:rsidR="001864F2" w:rsidRPr="006952B0" w:rsidSect="00D106BF">
          <w:pgSz w:w="11906" w:h="16838"/>
          <w:pgMar w:top="1418" w:right="1134" w:bottom="1134" w:left="1134" w:header="709" w:footer="709" w:gutter="0"/>
          <w:cols w:space="708"/>
          <w:docGrid w:linePitch="360"/>
        </w:sectPr>
      </w:pPr>
    </w:p>
    <w:p w:rsidR="00A2571B" w:rsidRPr="006B4BA8" w:rsidRDefault="00FD65CE" w:rsidP="00FD65CE">
      <w:pPr>
        <w:pStyle w:val="Titolo3"/>
        <w:numPr>
          <w:ilvl w:val="0"/>
          <w:numId w:val="0"/>
        </w:numPr>
      </w:pPr>
      <w:r>
        <w:lastRenderedPageBreak/>
        <w:t>2.3.2 Obiettivi strategici</w:t>
      </w:r>
    </w:p>
    <w:p w:rsidR="00A2571B" w:rsidRDefault="00A2571B" w:rsidP="00A2571B"/>
    <w:p w:rsidR="00A2571B" w:rsidRDefault="00293DBE" w:rsidP="00A2571B">
      <w:r w:rsidRPr="00293DBE">
        <w:t>Di seguito viene espost</w:t>
      </w:r>
      <w:r w:rsidR="00AC4EAA">
        <w:t>a</w:t>
      </w:r>
      <w:r w:rsidRPr="00293DBE">
        <w:t xml:space="preserve"> la prevision</w:t>
      </w:r>
      <w:r w:rsidR="00D66897">
        <w:t xml:space="preserve">e di Entrata e di Spesa per i temi </w:t>
      </w:r>
      <w:r w:rsidRPr="00293DBE">
        <w:t>strategici dell’</w:t>
      </w:r>
      <w:r w:rsidR="00AC4EAA">
        <w:t>Ente.</w:t>
      </w:r>
    </w:p>
    <w:tbl>
      <w:tblPr>
        <w:tblStyle w:val="Grigliachiara-Colore5"/>
        <w:tblW w:w="5000" w:type="auto"/>
        <w:tblLook w:val="0620" w:firstRow="1" w:lastRow="0" w:firstColumn="0" w:lastColumn="0" w:noHBand="1" w:noVBand="1"/>
      </w:tblPr>
      <w:tblGrid>
        <w:gridCol w:w="865"/>
        <w:gridCol w:w="4178"/>
        <w:gridCol w:w="1448"/>
        <w:gridCol w:w="1448"/>
        <w:gridCol w:w="1448"/>
        <w:gridCol w:w="1023"/>
        <w:gridCol w:w="1023"/>
        <w:gridCol w:w="1023"/>
        <w:gridCol w:w="1023"/>
        <w:gridCol w:w="1023"/>
      </w:tblGrid>
      <w:tr w:rsidR="00816AF2" w:rsidTr="00816AF2">
        <w:trPr>
          <w:cnfStyle w:val="100000000000" w:firstRow="1" w:lastRow="0" w:firstColumn="0" w:lastColumn="0" w:oddVBand="0" w:evenVBand="0" w:oddHBand="0" w:evenHBand="0" w:firstRowFirstColumn="0" w:firstRowLastColumn="0" w:lastRowFirstColumn="0" w:lastRowLastColumn="0"/>
        </w:trPr>
        <w:tc>
          <w:tcPr>
            <w:tcW w:w="2310" w:type="dxa"/>
            <w:vMerge w:val="restart"/>
            <w:vAlign w:val="center"/>
          </w:tcPr>
          <w:p w:rsidR="00816AF2" w:rsidRDefault="00A05F67">
            <w:pPr>
              <w:jc w:val="center"/>
            </w:pPr>
            <w:r>
              <w:rPr>
                <w:rFonts w:ascii="Calibri" w:hAnsi="Calibri" w:cs="Calibri"/>
                <w:i/>
                <w:sz w:val="20"/>
                <w:szCs w:val="20"/>
              </w:rPr>
              <w:t>N°</w:t>
            </w:r>
          </w:p>
        </w:tc>
        <w:tc>
          <w:tcPr>
            <w:tcW w:w="14175" w:type="dxa"/>
            <w:vMerge w:val="restart"/>
            <w:vAlign w:val="center"/>
          </w:tcPr>
          <w:p w:rsidR="00816AF2" w:rsidRDefault="00A05F67">
            <w:pPr>
              <w:jc w:val="center"/>
            </w:pPr>
            <w:r>
              <w:rPr>
                <w:rFonts w:ascii="Calibri" w:hAnsi="Calibri" w:cs="Calibri"/>
                <w:i/>
                <w:sz w:val="20"/>
                <w:szCs w:val="20"/>
              </w:rPr>
              <w:t>Tema Strategico</w:t>
            </w:r>
          </w:p>
        </w:tc>
        <w:tc>
          <w:tcPr>
            <w:tcW w:w="2310" w:type="dxa"/>
            <w:gridSpan w:val="8"/>
            <w:vAlign w:val="center"/>
          </w:tcPr>
          <w:p w:rsidR="00816AF2" w:rsidRDefault="00A05F67">
            <w:pPr>
              <w:jc w:val="center"/>
            </w:pPr>
            <w:r>
              <w:rPr>
                <w:rFonts w:ascii="Calibri" w:hAnsi="Calibri" w:cs="Calibri"/>
                <w:i/>
                <w:sz w:val="20"/>
                <w:szCs w:val="20"/>
              </w:rPr>
              <w:t>Entrate previste</w:t>
            </w:r>
          </w:p>
        </w:tc>
      </w:tr>
      <w:tr w:rsidR="00816AF2" w:rsidTr="00816AF2">
        <w:tc>
          <w:tcPr>
            <w:tcW w:w="2310" w:type="dxa"/>
            <w:vMerge/>
            <w:vAlign w:val="center"/>
          </w:tcPr>
          <w:p w:rsidR="00816AF2" w:rsidRDefault="00816AF2"/>
        </w:tc>
        <w:tc>
          <w:tcPr>
            <w:tcW w:w="2310" w:type="dxa"/>
            <w:vMerge/>
            <w:vAlign w:val="center"/>
          </w:tcPr>
          <w:p w:rsidR="00816AF2" w:rsidRDefault="00816AF2"/>
        </w:tc>
        <w:tc>
          <w:tcPr>
            <w:tcW w:w="2310" w:type="dxa"/>
            <w:vAlign w:val="center"/>
          </w:tcPr>
          <w:p w:rsidR="00816AF2" w:rsidRDefault="00A05F67">
            <w:pPr>
              <w:jc w:val="center"/>
            </w:pPr>
            <w:r>
              <w:rPr>
                <w:i/>
                <w:sz w:val="20"/>
                <w:szCs w:val="20"/>
              </w:rPr>
              <w:t>2018</w:t>
            </w:r>
          </w:p>
        </w:tc>
        <w:tc>
          <w:tcPr>
            <w:tcW w:w="2310" w:type="dxa"/>
            <w:vAlign w:val="center"/>
          </w:tcPr>
          <w:p w:rsidR="00816AF2" w:rsidRDefault="00A05F67">
            <w:pPr>
              <w:jc w:val="center"/>
            </w:pPr>
            <w:r>
              <w:rPr>
                <w:i/>
                <w:sz w:val="20"/>
                <w:szCs w:val="20"/>
              </w:rPr>
              <w:t>2019</w:t>
            </w:r>
          </w:p>
        </w:tc>
        <w:tc>
          <w:tcPr>
            <w:tcW w:w="2310" w:type="dxa"/>
            <w:vAlign w:val="center"/>
          </w:tcPr>
          <w:p w:rsidR="00816AF2" w:rsidRDefault="00A05F67">
            <w:pPr>
              <w:jc w:val="center"/>
            </w:pPr>
            <w:r>
              <w:rPr>
                <w:i/>
                <w:sz w:val="20"/>
                <w:szCs w:val="20"/>
              </w:rPr>
              <w:t>2020</w:t>
            </w:r>
          </w:p>
        </w:tc>
        <w:tc>
          <w:tcPr>
            <w:tcW w:w="2310" w:type="dxa"/>
            <w:vAlign w:val="center"/>
          </w:tcPr>
          <w:p w:rsidR="00816AF2" w:rsidRDefault="00A05F67">
            <w:pPr>
              <w:jc w:val="center"/>
            </w:pPr>
            <w:r>
              <w:rPr>
                <w:i/>
                <w:sz w:val="20"/>
                <w:szCs w:val="20"/>
              </w:rPr>
              <w:t>2021</w:t>
            </w:r>
          </w:p>
        </w:tc>
        <w:tc>
          <w:tcPr>
            <w:tcW w:w="2310" w:type="dxa"/>
            <w:vAlign w:val="center"/>
          </w:tcPr>
          <w:p w:rsidR="00816AF2" w:rsidRDefault="00A05F67">
            <w:pPr>
              <w:jc w:val="center"/>
            </w:pPr>
            <w:r>
              <w:rPr>
                <w:i/>
                <w:sz w:val="20"/>
                <w:szCs w:val="20"/>
              </w:rPr>
              <w:t>2022</w:t>
            </w:r>
          </w:p>
        </w:tc>
        <w:tc>
          <w:tcPr>
            <w:tcW w:w="2310" w:type="dxa"/>
            <w:vAlign w:val="center"/>
          </w:tcPr>
          <w:p w:rsidR="00816AF2" w:rsidRDefault="00A05F67">
            <w:pPr>
              <w:jc w:val="center"/>
            </w:pPr>
            <w:r>
              <w:rPr>
                <w:i/>
                <w:sz w:val="20"/>
                <w:szCs w:val="20"/>
              </w:rPr>
              <w:t>FPV 2018</w:t>
            </w:r>
          </w:p>
        </w:tc>
        <w:tc>
          <w:tcPr>
            <w:tcW w:w="2310" w:type="dxa"/>
            <w:vAlign w:val="center"/>
          </w:tcPr>
          <w:p w:rsidR="00816AF2" w:rsidRDefault="00A05F67">
            <w:pPr>
              <w:jc w:val="center"/>
            </w:pPr>
            <w:r>
              <w:rPr>
                <w:i/>
                <w:sz w:val="20"/>
                <w:szCs w:val="20"/>
              </w:rPr>
              <w:t>FPV 2019</w:t>
            </w:r>
          </w:p>
        </w:tc>
        <w:tc>
          <w:tcPr>
            <w:tcW w:w="2310" w:type="dxa"/>
            <w:vAlign w:val="center"/>
          </w:tcPr>
          <w:p w:rsidR="00816AF2" w:rsidRDefault="00A05F67">
            <w:pPr>
              <w:jc w:val="center"/>
            </w:pPr>
            <w:r>
              <w:rPr>
                <w:i/>
                <w:sz w:val="20"/>
                <w:szCs w:val="20"/>
              </w:rPr>
              <w:t>FPV 2020</w:t>
            </w:r>
          </w:p>
        </w:tc>
      </w:tr>
      <w:tr w:rsidR="00816AF2" w:rsidTr="00816AF2">
        <w:tc>
          <w:tcPr>
            <w:tcW w:w="2310" w:type="dxa"/>
            <w:vAlign w:val="center"/>
          </w:tcPr>
          <w:p w:rsidR="00816AF2" w:rsidRDefault="00A05F67">
            <w:pPr>
              <w:jc w:val="center"/>
            </w:pPr>
            <w:r>
              <w:rPr>
                <w:rFonts w:ascii="Calibri" w:hAnsi="Calibri" w:cs="Calibri"/>
                <w:sz w:val="20"/>
                <w:szCs w:val="20"/>
              </w:rPr>
              <w:t>1</w:t>
            </w:r>
          </w:p>
        </w:tc>
        <w:tc>
          <w:tcPr>
            <w:tcW w:w="2310" w:type="dxa"/>
            <w:vAlign w:val="center"/>
          </w:tcPr>
          <w:p w:rsidR="00816AF2" w:rsidRDefault="00FD65CE">
            <w:r>
              <w:rPr>
                <w:sz w:val="20"/>
                <w:szCs w:val="20"/>
              </w:rPr>
              <w:t>COUB VC</w:t>
            </w:r>
            <w:r w:rsidR="00213AF9">
              <w:rPr>
                <w:sz w:val="20"/>
                <w:szCs w:val="20"/>
              </w:rPr>
              <w:t>O</w:t>
            </w:r>
          </w:p>
        </w:tc>
        <w:tc>
          <w:tcPr>
            <w:tcW w:w="2310" w:type="dxa"/>
            <w:vAlign w:val="center"/>
          </w:tcPr>
          <w:p w:rsidR="00816AF2" w:rsidRDefault="00A05F67">
            <w:pPr>
              <w:jc w:val="right"/>
            </w:pPr>
            <w:r>
              <w:rPr>
                <w:sz w:val="18"/>
                <w:szCs w:val="18"/>
              </w:rPr>
              <w:t>6.805.916,96</w:t>
            </w:r>
          </w:p>
        </w:tc>
        <w:tc>
          <w:tcPr>
            <w:tcW w:w="2310" w:type="dxa"/>
            <w:vAlign w:val="center"/>
          </w:tcPr>
          <w:p w:rsidR="00816AF2" w:rsidRDefault="00A05F67">
            <w:pPr>
              <w:jc w:val="right"/>
            </w:pPr>
            <w:r>
              <w:rPr>
                <w:sz w:val="18"/>
                <w:szCs w:val="18"/>
              </w:rPr>
              <w:t>6.657.822,80</w:t>
            </w:r>
          </w:p>
        </w:tc>
        <w:tc>
          <w:tcPr>
            <w:tcW w:w="2310" w:type="dxa"/>
            <w:vAlign w:val="center"/>
          </w:tcPr>
          <w:p w:rsidR="00816AF2" w:rsidRDefault="00A05F67">
            <w:pPr>
              <w:jc w:val="right"/>
            </w:pPr>
            <w:r>
              <w:rPr>
                <w:sz w:val="18"/>
                <w:szCs w:val="18"/>
              </w:rPr>
              <w:t>6.637.330,59</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r>
      <w:tr w:rsidR="00816AF2" w:rsidTr="00816AF2">
        <w:tc>
          <w:tcPr>
            <w:tcW w:w="2310" w:type="dxa"/>
            <w:gridSpan w:val="2"/>
            <w:vAlign w:val="center"/>
          </w:tcPr>
          <w:p w:rsidR="00816AF2" w:rsidRDefault="00A05F67">
            <w:pPr>
              <w:jc w:val="center"/>
            </w:pPr>
            <w:r>
              <w:rPr>
                <w:rFonts w:ascii="Calibri" w:hAnsi="Calibri" w:cs="Calibri"/>
                <w:b/>
                <w:sz w:val="20"/>
                <w:szCs w:val="20"/>
              </w:rPr>
              <w:t>TOTALE</w:t>
            </w:r>
          </w:p>
        </w:tc>
        <w:tc>
          <w:tcPr>
            <w:tcW w:w="2310" w:type="dxa"/>
            <w:vAlign w:val="center"/>
          </w:tcPr>
          <w:p w:rsidR="00816AF2" w:rsidRDefault="00A05F67">
            <w:pPr>
              <w:jc w:val="right"/>
            </w:pPr>
            <w:r>
              <w:rPr>
                <w:b/>
                <w:sz w:val="18"/>
                <w:szCs w:val="18"/>
              </w:rPr>
              <w:t>6.805.916,96</w:t>
            </w:r>
          </w:p>
        </w:tc>
        <w:tc>
          <w:tcPr>
            <w:tcW w:w="2310" w:type="dxa"/>
            <w:vAlign w:val="center"/>
          </w:tcPr>
          <w:p w:rsidR="00816AF2" w:rsidRDefault="00A05F67">
            <w:pPr>
              <w:jc w:val="right"/>
            </w:pPr>
            <w:r>
              <w:rPr>
                <w:b/>
                <w:sz w:val="18"/>
                <w:szCs w:val="18"/>
              </w:rPr>
              <w:t>6.657.822,80</w:t>
            </w:r>
          </w:p>
        </w:tc>
        <w:tc>
          <w:tcPr>
            <w:tcW w:w="2310" w:type="dxa"/>
            <w:vAlign w:val="center"/>
          </w:tcPr>
          <w:p w:rsidR="00816AF2" w:rsidRDefault="00A05F67">
            <w:pPr>
              <w:jc w:val="right"/>
            </w:pPr>
            <w:r>
              <w:rPr>
                <w:b/>
                <w:sz w:val="18"/>
                <w:szCs w:val="18"/>
              </w:rPr>
              <w:t>6.637.330,59</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r>
    </w:tbl>
    <w:p w:rsidR="00816AF2" w:rsidRDefault="00816AF2"/>
    <w:p w:rsidR="001864F2" w:rsidRDefault="001864F2" w:rsidP="001864F2"/>
    <w:tbl>
      <w:tblPr>
        <w:tblStyle w:val="Grigliachiara-Colore5"/>
        <w:tblW w:w="5000" w:type="auto"/>
        <w:tblLook w:val="0620" w:firstRow="1" w:lastRow="0" w:firstColumn="0" w:lastColumn="0" w:noHBand="1" w:noVBand="1"/>
      </w:tblPr>
      <w:tblGrid>
        <w:gridCol w:w="945"/>
        <w:gridCol w:w="3612"/>
        <w:gridCol w:w="1495"/>
        <w:gridCol w:w="1495"/>
        <w:gridCol w:w="1495"/>
        <w:gridCol w:w="1092"/>
        <w:gridCol w:w="1092"/>
        <w:gridCol w:w="1092"/>
        <w:gridCol w:w="1092"/>
        <w:gridCol w:w="1092"/>
      </w:tblGrid>
      <w:tr w:rsidR="00816AF2" w:rsidTr="00816AF2">
        <w:trPr>
          <w:cnfStyle w:val="100000000000" w:firstRow="1" w:lastRow="0" w:firstColumn="0" w:lastColumn="0" w:oddVBand="0" w:evenVBand="0" w:oddHBand="0" w:evenHBand="0" w:firstRowFirstColumn="0" w:firstRowLastColumn="0" w:lastRowFirstColumn="0" w:lastRowLastColumn="0"/>
        </w:trPr>
        <w:tc>
          <w:tcPr>
            <w:tcW w:w="2310" w:type="dxa"/>
            <w:vMerge w:val="restart"/>
            <w:vAlign w:val="center"/>
          </w:tcPr>
          <w:p w:rsidR="00816AF2" w:rsidRDefault="00A05F67">
            <w:pPr>
              <w:jc w:val="center"/>
            </w:pPr>
            <w:r>
              <w:rPr>
                <w:rFonts w:ascii="Calibri" w:hAnsi="Calibri" w:cs="Calibri"/>
                <w:i/>
                <w:sz w:val="20"/>
                <w:szCs w:val="20"/>
              </w:rPr>
              <w:t>N°</w:t>
            </w:r>
          </w:p>
        </w:tc>
        <w:tc>
          <w:tcPr>
            <w:tcW w:w="10200" w:type="dxa"/>
            <w:vMerge w:val="restart"/>
            <w:vAlign w:val="center"/>
          </w:tcPr>
          <w:p w:rsidR="00816AF2" w:rsidRDefault="00A05F67">
            <w:pPr>
              <w:jc w:val="center"/>
            </w:pPr>
            <w:r>
              <w:rPr>
                <w:rFonts w:ascii="Calibri" w:hAnsi="Calibri" w:cs="Calibri"/>
                <w:i/>
                <w:sz w:val="20"/>
                <w:szCs w:val="20"/>
              </w:rPr>
              <w:t>Tema Strategico</w:t>
            </w:r>
          </w:p>
        </w:tc>
        <w:tc>
          <w:tcPr>
            <w:tcW w:w="2310" w:type="dxa"/>
            <w:gridSpan w:val="8"/>
            <w:vAlign w:val="center"/>
          </w:tcPr>
          <w:p w:rsidR="00816AF2" w:rsidRDefault="00A05F67">
            <w:pPr>
              <w:jc w:val="center"/>
            </w:pPr>
            <w:r>
              <w:rPr>
                <w:rFonts w:ascii="Calibri" w:hAnsi="Calibri" w:cs="Calibri"/>
                <w:i/>
                <w:sz w:val="20"/>
                <w:szCs w:val="20"/>
              </w:rPr>
              <w:t>Spese previste</w:t>
            </w:r>
          </w:p>
        </w:tc>
      </w:tr>
      <w:tr w:rsidR="00816AF2" w:rsidTr="00816AF2">
        <w:tc>
          <w:tcPr>
            <w:tcW w:w="2310" w:type="dxa"/>
            <w:vMerge/>
            <w:vAlign w:val="center"/>
          </w:tcPr>
          <w:p w:rsidR="00816AF2" w:rsidRDefault="00816AF2"/>
        </w:tc>
        <w:tc>
          <w:tcPr>
            <w:tcW w:w="2310" w:type="dxa"/>
            <w:vMerge/>
            <w:vAlign w:val="center"/>
          </w:tcPr>
          <w:p w:rsidR="00816AF2" w:rsidRDefault="00816AF2"/>
        </w:tc>
        <w:tc>
          <w:tcPr>
            <w:tcW w:w="2310" w:type="dxa"/>
            <w:vAlign w:val="center"/>
          </w:tcPr>
          <w:p w:rsidR="00816AF2" w:rsidRDefault="00A05F67">
            <w:pPr>
              <w:jc w:val="center"/>
            </w:pPr>
            <w:r>
              <w:rPr>
                <w:i/>
                <w:sz w:val="20"/>
                <w:szCs w:val="20"/>
              </w:rPr>
              <w:t>2018</w:t>
            </w:r>
          </w:p>
        </w:tc>
        <w:tc>
          <w:tcPr>
            <w:tcW w:w="2310" w:type="dxa"/>
            <w:vAlign w:val="center"/>
          </w:tcPr>
          <w:p w:rsidR="00816AF2" w:rsidRDefault="00A05F67">
            <w:pPr>
              <w:jc w:val="center"/>
            </w:pPr>
            <w:r>
              <w:rPr>
                <w:i/>
                <w:sz w:val="20"/>
                <w:szCs w:val="20"/>
              </w:rPr>
              <w:t>2019</w:t>
            </w:r>
          </w:p>
        </w:tc>
        <w:tc>
          <w:tcPr>
            <w:tcW w:w="2310" w:type="dxa"/>
            <w:vAlign w:val="center"/>
          </w:tcPr>
          <w:p w:rsidR="00816AF2" w:rsidRDefault="00A05F67">
            <w:pPr>
              <w:jc w:val="center"/>
            </w:pPr>
            <w:r>
              <w:rPr>
                <w:i/>
                <w:sz w:val="20"/>
                <w:szCs w:val="20"/>
              </w:rPr>
              <w:t>2020</w:t>
            </w:r>
          </w:p>
        </w:tc>
        <w:tc>
          <w:tcPr>
            <w:tcW w:w="2310" w:type="dxa"/>
            <w:vAlign w:val="center"/>
          </w:tcPr>
          <w:p w:rsidR="00816AF2" w:rsidRDefault="00A05F67">
            <w:pPr>
              <w:jc w:val="center"/>
            </w:pPr>
            <w:r>
              <w:rPr>
                <w:i/>
                <w:sz w:val="20"/>
                <w:szCs w:val="20"/>
              </w:rPr>
              <w:t>2021</w:t>
            </w:r>
          </w:p>
        </w:tc>
        <w:tc>
          <w:tcPr>
            <w:tcW w:w="2310" w:type="dxa"/>
            <w:vAlign w:val="center"/>
          </w:tcPr>
          <w:p w:rsidR="00816AF2" w:rsidRDefault="00A05F67">
            <w:pPr>
              <w:jc w:val="center"/>
            </w:pPr>
            <w:r>
              <w:rPr>
                <w:i/>
                <w:sz w:val="20"/>
                <w:szCs w:val="20"/>
              </w:rPr>
              <w:t>2022</w:t>
            </w:r>
          </w:p>
        </w:tc>
        <w:tc>
          <w:tcPr>
            <w:tcW w:w="2310" w:type="dxa"/>
            <w:vAlign w:val="center"/>
          </w:tcPr>
          <w:p w:rsidR="00816AF2" w:rsidRDefault="00A05F67">
            <w:pPr>
              <w:jc w:val="center"/>
            </w:pPr>
            <w:r>
              <w:rPr>
                <w:i/>
                <w:sz w:val="20"/>
                <w:szCs w:val="20"/>
              </w:rPr>
              <w:t>FPV 2018</w:t>
            </w:r>
          </w:p>
        </w:tc>
        <w:tc>
          <w:tcPr>
            <w:tcW w:w="2310" w:type="dxa"/>
            <w:vAlign w:val="center"/>
          </w:tcPr>
          <w:p w:rsidR="00816AF2" w:rsidRDefault="00A05F67">
            <w:pPr>
              <w:jc w:val="center"/>
            </w:pPr>
            <w:r>
              <w:rPr>
                <w:i/>
                <w:sz w:val="20"/>
                <w:szCs w:val="20"/>
              </w:rPr>
              <w:t>FPV 2019</w:t>
            </w:r>
          </w:p>
        </w:tc>
        <w:tc>
          <w:tcPr>
            <w:tcW w:w="2310" w:type="dxa"/>
            <w:vAlign w:val="center"/>
          </w:tcPr>
          <w:p w:rsidR="00816AF2" w:rsidRDefault="00A05F67">
            <w:pPr>
              <w:jc w:val="center"/>
            </w:pPr>
            <w:r>
              <w:rPr>
                <w:i/>
                <w:sz w:val="20"/>
                <w:szCs w:val="20"/>
              </w:rPr>
              <w:t>FPV 2020</w:t>
            </w:r>
          </w:p>
        </w:tc>
      </w:tr>
      <w:tr w:rsidR="00816AF2" w:rsidTr="00816AF2">
        <w:tc>
          <w:tcPr>
            <w:tcW w:w="2310" w:type="dxa"/>
            <w:vAlign w:val="center"/>
          </w:tcPr>
          <w:p w:rsidR="00816AF2" w:rsidRDefault="00A05F67">
            <w:pPr>
              <w:jc w:val="center"/>
            </w:pPr>
            <w:r>
              <w:rPr>
                <w:rFonts w:ascii="Calibri" w:hAnsi="Calibri" w:cs="Calibri"/>
                <w:sz w:val="20"/>
                <w:szCs w:val="20"/>
              </w:rPr>
              <w:t>1</w:t>
            </w:r>
          </w:p>
        </w:tc>
        <w:tc>
          <w:tcPr>
            <w:tcW w:w="2310" w:type="dxa"/>
            <w:vAlign w:val="center"/>
          </w:tcPr>
          <w:p w:rsidR="00816AF2" w:rsidRDefault="00213AF9">
            <w:r>
              <w:rPr>
                <w:sz w:val="20"/>
                <w:szCs w:val="20"/>
              </w:rPr>
              <w:t>COUB VCO</w:t>
            </w:r>
          </w:p>
        </w:tc>
        <w:tc>
          <w:tcPr>
            <w:tcW w:w="2310" w:type="dxa"/>
            <w:vAlign w:val="center"/>
          </w:tcPr>
          <w:p w:rsidR="00816AF2" w:rsidRDefault="00A05F67">
            <w:pPr>
              <w:jc w:val="right"/>
            </w:pPr>
            <w:r>
              <w:rPr>
                <w:sz w:val="18"/>
                <w:szCs w:val="18"/>
              </w:rPr>
              <w:t>5.264.247,02</w:t>
            </w:r>
          </w:p>
        </w:tc>
        <w:tc>
          <w:tcPr>
            <w:tcW w:w="2310" w:type="dxa"/>
            <w:vAlign w:val="center"/>
          </w:tcPr>
          <w:p w:rsidR="00816AF2" w:rsidRDefault="00A05F67">
            <w:pPr>
              <w:jc w:val="right"/>
            </w:pPr>
            <w:r>
              <w:rPr>
                <w:sz w:val="18"/>
                <w:szCs w:val="18"/>
              </w:rPr>
              <w:t>5.248.611,35</w:t>
            </w:r>
          </w:p>
        </w:tc>
        <w:tc>
          <w:tcPr>
            <w:tcW w:w="2310" w:type="dxa"/>
            <w:vAlign w:val="center"/>
          </w:tcPr>
          <w:p w:rsidR="00816AF2" w:rsidRDefault="00A05F67">
            <w:pPr>
              <w:jc w:val="right"/>
            </w:pPr>
            <w:r>
              <w:rPr>
                <w:sz w:val="18"/>
                <w:szCs w:val="18"/>
              </w:rPr>
              <w:t>5.228.930,59</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r>
      <w:tr w:rsidR="00816AF2" w:rsidTr="00816AF2">
        <w:tc>
          <w:tcPr>
            <w:tcW w:w="2310" w:type="dxa"/>
            <w:vAlign w:val="center"/>
          </w:tcPr>
          <w:p w:rsidR="00816AF2" w:rsidRDefault="00A05F67">
            <w:pPr>
              <w:jc w:val="center"/>
            </w:pPr>
            <w:r>
              <w:rPr>
                <w:rFonts w:ascii="Calibri" w:hAnsi="Calibri" w:cs="Calibri"/>
                <w:sz w:val="20"/>
                <w:szCs w:val="20"/>
              </w:rPr>
              <w:t>2</w:t>
            </w:r>
          </w:p>
        </w:tc>
        <w:tc>
          <w:tcPr>
            <w:tcW w:w="2310" w:type="dxa"/>
            <w:vAlign w:val="center"/>
          </w:tcPr>
          <w:p w:rsidR="00816AF2" w:rsidRDefault="00816AF2"/>
        </w:tc>
        <w:tc>
          <w:tcPr>
            <w:tcW w:w="2310" w:type="dxa"/>
            <w:vAlign w:val="center"/>
          </w:tcPr>
          <w:p w:rsidR="00816AF2" w:rsidRDefault="00A05F67">
            <w:pPr>
              <w:jc w:val="right"/>
            </w:pPr>
            <w:r>
              <w:rPr>
                <w:sz w:val="18"/>
                <w:szCs w:val="18"/>
              </w:rPr>
              <w:t>1.541.669,94</w:t>
            </w:r>
          </w:p>
        </w:tc>
        <w:tc>
          <w:tcPr>
            <w:tcW w:w="2310" w:type="dxa"/>
            <w:vAlign w:val="center"/>
          </w:tcPr>
          <w:p w:rsidR="00816AF2" w:rsidRDefault="00A05F67">
            <w:pPr>
              <w:jc w:val="right"/>
            </w:pPr>
            <w:r>
              <w:rPr>
                <w:sz w:val="18"/>
                <w:szCs w:val="18"/>
              </w:rPr>
              <w:t>1.409.211,45</w:t>
            </w:r>
          </w:p>
        </w:tc>
        <w:tc>
          <w:tcPr>
            <w:tcW w:w="2310" w:type="dxa"/>
            <w:vAlign w:val="center"/>
          </w:tcPr>
          <w:p w:rsidR="00816AF2" w:rsidRDefault="00A05F67">
            <w:pPr>
              <w:jc w:val="right"/>
            </w:pPr>
            <w:r>
              <w:rPr>
                <w:sz w:val="18"/>
                <w:szCs w:val="18"/>
              </w:rPr>
              <w:t>1.408.400,00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r>
      <w:tr w:rsidR="00816AF2" w:rsidTr="00816AF2">
        <w:tc>
          <w:tcPr>
            <w:tcW w:w="2310" w:type="dxa"/>
            <w:gridSpan w:val="2"/>
            <w:vAlign w:val="center"/>
          </w:tcPr>
          <w:p w:rsidR="00816AF2" w:rsidRDefault="00A05F67">
            <w:pPr>
              <w:jc w:val="center"/>
            </w:pPr>
            <w:r>
              <w:rPr>
                <w:rFonts w:ascii="Calibri" w:hAnsi="Calibri" w:cs="Calibri"/>
                <w:b/>
                <w:sz w:val="20"/>
                <w:szCs w:val="20"/>
              </w:rPr>
              <w:t>TOTALE</w:t>
            </w:r>
          </w:p>
        </w:tc>
        <w:tc>
          <w:tcPr>
            <w:tcW w:w="2310" w:type="dxa"/>
            <w:vAlign w:val="center"/>
          </w:tcPr>
          <w:p w:rsidR="00816AF2" w:rsidRDefault="00A05F67">
            <w:pPr>
              <w:jc w:val="right"/>
            </w:pPr>
            <w:r>
              <w:rPr>
                <w:b/>
                <w:sz w:val="18"/>
                <w:szCs w:val="18"/>
              </w:rPr>
              <w:t>6.805.916,96</w:t>
            </w:r>
          </w:p>
        </w:tc>
        <w:tc>
          <w:tcPr>
            <w:tcW w:w="2310" w:type="dxa"/>
            <w:vAlign w:val="center"/>
          </w:tcPr>
          <w:p w:rsidR="00816AF2" w:rsidRDefault="00A05F67">
            <w:pPr>
              <w:jc w:val="right"/>
            </w:pPr>
            <w:r>
              <w:rPr>
                <w:b/>
                <w:sz w:val="18"/>
                <w:szCs w:val="18"/>
              </w:rPr>
              <w:t>6.657.822,80</w:t>
            </w:r>
          </w:p>
        </w:tc>
        <w:tc>
          <w:tcPr>
            <w:tcW w:w="2310" w:type="dxa"/>
            <w:vAlign w:val="center"/>
          </w:tcPr>
          <w:p w:rsidR="00816AF2" w:rsidRDefault="00A05F67">
            <w:pPr>
              <w:jc w:val="right"/>
            </w:pPr>
            <w:r>
              <w:rPr>
                <w:b/>
                <w:sz w:val="18"/>
                <w:szCs w:val="18"/>
              </w:rPr>
              <w:t>6.637.330,59</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r>
    </w:tbl>
    <w:p w:rsidR="00816AF2" w:rsidRDefault="00816AF2"/>
    <w:p w:rsidR="001864F2" w:rsidRDefault="001864F2" w:rsidP="00A2571B">
      <w:pPr>
        <w:sectPr w:rsidR="001864F2" w:rsidSect="006D71D6">
          <w:footerReference w:type="default" r:id="rId35"/>
          <w:pgSz w:w="16838" w:h="11906" w:orient="landscape"/>
          <w:pgMar w:top="1134" w:right="1418" w:bottom="1134" w:left="1134" w:header="709" w:footer="709" w:gutter="0"/>
          <w:cols w:space="708"/>
          <w:docGrid w:linePitch="360"/>
        </w:sectPr>
      </w:pPr>
    </w:p>
    <w:p w:rsidR="00AE15B4" w:rsidRPr="007074D6" w:rsidRDefault="00DF5824" w:rsidP="00DF5824">
      <w:pPr>
        <w:pStyle w:val="Titolo3"/>
        <w:numPr>
          <w:ilvl w:val="0"/>
          <w:numId w:val="0"/>
        </w:numPr>
      </w:pPr>
      <w:r>
        <w:lastRenderedPageBreak/>
        <w:t>2.3.3</w:t>
      </w:r>
      <w:r w:rsidR="00133951">
        <w:t xml:space="preserve"> </w:t>
      </w:r>
      <w:bookmarkStart w:id="15" w:name="_Toc496177143"/>
      <w:r>
        <w:t>Obiettivi</w:t>
      </w:r>
      <w:r w:rsidR="006C44A6" w:rsidRPr="007074D6">
        <w:t xml:space="preserve"> strategici per missione</w:t>
      </w:r>
      <w:bookmarkEnd w:id="15"/>
    </w:p>
    <w:p w:rsidR="00250D35" w:rsidRDefault="00250D35" w:rsidP="00D106BF"/>
    <w:p w:rsidR="006218A5" w:rsidRPr="00DB4602" w:rsidRDefault="006218A5" w:rsidP="003E4421">
      <w:pPr>
        <w:widowControl w:val="0"/>
        <w:autoSpaceDE w:val="0"/>
        <w:autoSpaceDN w:val="0"/>
        <w:adjustRightInd w:val="0"/>
        <w:spacing w:line="360" w:lineRule="auto"/>
        <w:ind w:right="284"/>
        <w:rPr>
          <w:rFonts w:cs="Arial"/>
        </w:rPr>
      </w:pPr>
      <w:r w:rsidRPr="00DB4602">
        <w:rPr>
          <w:rFonts w:cs="Arial"/>
        </w:rPr>
        <w:t xml:space="preserve">L’individuazione </w:t>
      </w:r>
      <w:r w:rsidR="00DF5824">
        <w:rPr>
          <w:rFonts w:cs="Arial"/>
        </w:rPr>
        <w:t xml:space="preserve">degli obiettivi </w:t>
      </w:r>
      <w:r w:rsidRPr="00DB4602">
        <w:rPr>
          <w:rFonts w:cs="Arial"/>
        </w:rPr>
        <w:t xml:space="preserve">strategici </w:t>
      </w:r>
      <w:r>
        <w:rPr>
          <w:rFonts w:cs="Arial"/>
        </w:rPr>
        <w:t>è uno dei caratteri distintivi del DUP; come per tutte le analisi puntuali, si rende necessario esplicitare le risorse finanziarie che si ritiene saranno destinate al perseguimento di quegli obiettivi.</w:t>
      </w:r>
    </w:p>
    <w:p w:rsidR="006218A5" w:rsidRDefault="006218A5" w:rsidP="009F7ACF">
      <w:pPr>
        <w:widowControl w:val="0"/>
        <w:autoSpaceDE w:val="0"/>
        <w:autoSpaceDN w:val="0"/>
        <w:adjustRightInd w:val="0"/>
        <w:spacing w:line="360" w:lineRule="auto"/>
        <w:ind w:right="284"/>
        <w:rPr>
          <w:rFonts w:cs="Arial"/>
        </w:rPr>
      </w:pPr>
      <w:r w:rsidRPr="00DB4602">
        <w:rPr>
          <w:rFonts w:cs="Arial"/>
        </w:rPr>
        <w:t xml:space="preserve">Pertanto, alla luce delle considerazioni fin qui svolte ed in riferimento alle previsioni di cui al punto 8.1 del Principio contabile n.1, si riportano, nella tabella seguente, per ogni missione di bilancio, </w:t>
      </w:r>
      <w:r w:rsidR="00D66897">
        <w:rPr>
          <w:rFonts w:cs="Arial"/>
        </w:rPr>
        <w:t>i</w:t>
      </w:r>
      <w:r w:rsidRPr="00DB4602">
        <w:rPr>
          <w:rFonts w:cs="Arial"/>
        </w:rPr>
        <w:t xml:space="preserve"> </w:t>
      </w:r>
      <w:r w:rsidR="00D66897">
        <w:rPr>
          <w:rFonts w:cs="Arial"/>
        </w:rPr>
        <w:t>temi</w:t>
      </w:r>
      <w:r w:rsidRPr="00DB4602">
        <w:rPr>
          <w:rFonts w:cs="Arial"/>
        </w:rPr>
        <w:t xml:space="preserve"> strategici che questa amministrazione intende perseguire entro la fine del mandato.</w:t>
      </w:r>
    </w:p>
    <w:p w:rsidR="00694F43" w:rsidRDefault="00694F43" w:rsidP="00694F43"/>
    <w:tbl>
      <w:tblPr>
        <w:tblStyle w:val="Grigliachiara-Colore5"/>
        <w:tblW w:w="5000" w:type="pct"/>
        <w:tblLook w:val="0680" w:firstRow="0" w:lastRow="0" w:firstColumn="1" w:lastColumn="0" w:noHBand="1" w:noVBand="1"/>
      </w:tblPr>
      <w:tblGrid>
        <w:gridCol w:w="14502"/>
      </w:tblGrid>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t>Missione: 01 - Servizi istituzionali, generali e di gestione</w:t>
            </w:r>
          </w:p>
        </w:tc>
      </w:tr>
    </w:tbl>
    <w:p w:rsidR="00816AF2" w:rsidRDefault="00816AF2"/>
    <w:tbl>
      <w:tblPr>
        <w:tblStyle w:val="Grigliachiara-Colore5"/>
        <w:tblW w:w="5000" w:type="auto"/>
        <w:tblLook w:val="0620" w:firstRow="1" w:lastRow="0" w:firstColumn="0" w:lastColumn="0" w:noHBand="1" w:noVBand="1"/>
      </w:tblPr>
      <w:tblGrid>
        <w:gridCol w:w="938"/>
        <w:gridCol w:w="3959"/>
        <w:gridCol w:w="1390"/>
        <w:gridCol w:w="1390"/>
        <w:gridCol w:w="1390"/>
        <w:gridCol w:w="1087"/>
        <w:gridCol w:w="1087"/>
        <w:gridCol w:w="1087"/>
        <w:gridCol w:w="1087"/>
        <w:gridCol w:w="1087"/>
      </w:tblGrid>
      <w:tr w:rsidR="00816AF2" w:rsidTr="00816AF2">
        <w:trPr>
          <w:cnfStyle w:val="100000000000" w:firstRow="1" w:lastRow="0" w:firstColumn="0" w:lastColumn="0" w:oddVBand="0" w:evenVBand="0" w:oddHBand="0" w:evenHBand="0" w:firstRowFirstColumn="0" w:firstRowLastColumn="0" w:lastRowFirstColumn="0" w:lastRowLastColumn="0"/>
        </w:trPr>
        <w:tc>
          <w:tcPr>
            <w:tcW w:w="2310" w:type="dxa"/>
            <w:vMerge w:val="restart"/>
            <w:vAlign w:val="center"/>
          </w:tcPr>
          <w:p w:rsidR="00816AF2" w:rsidRDefault="00A05F67">
            <w:pPr>
              <w:jc w:val="center"/>
            </w:pPr>
            <w:r>
              <w:rPr>
                <w:rFonts w:ascii="Calibri" w:hAnsi="Calibri" w:cs="Calibri"/>
                <w:i/>
                <w:sz w:val="20"/>
                <w:szCs w:val="20"/>
              </w:rPr>
              <w:t>N°</w:t>
            </w:r>
          </w:p>
        </w:tc>
        <w:tc>
          <w:tcPr>
            <w:tcW w:w="10200" w:type="dxa"/>
            <w:vMerge w:val="restart"/>
            <w:vAlign w:val="center"/>
          </w:tcPr>
          <w:p w:rsidR="00816AF2" w:rsidRDefault="00A05F67">
            <w:pPr>
              <w:jc w:val="center"/>
            </w:pPr>
            <w:r>
              <w:rPr>
                <w:rFonts w:ascii="Calibri" w:hAnsi="Calibri" w:cs="Calibri"/>
                <w:i/>
                <w:sz w:val="20"/>
                <w:szCs w:val="20"/>
              </w:rPr>
              <w:t>Tema Strategico</w:t>
            </w:r>
          </w:p>
        </w:tc>
        <w:tc>
          <w:tcPr>
            <w:tcW w:w="2310" w:type="dxa"/>
            <w:gridSpan w:val="8"/>
            <w:vAlign w:val="center"/>
          </w:tcPr>
          <w:p w:rsidR="00816AF2" w:rsidRDefault="00A05F67">
            <w:pPr>
              <w:jc w:val="center"/>
            </w:pPr>
            <w:r>
              <w:rPr>
                <w:rFonts w:ascii="Calibri" w:hAnsi="Calibri" w:cs="Calibri"/>
                <w:i/>
                <w:sz w:val="20"/>
                <w:szCs w:val="20"/>
              </w:rPr>
              <w:t>Spese previste</w:t>
            </w:r>
          </w:p>
        </w:tc>
      </w:tr>
      <w:tr w:rsidR="00816AF2" w:rsidTr="00816AF2">
        <w:tc>
          <w:tcPr>
            <w:tcW w:w="2310" w:type="dxa"/>
            <w:vMerge/>
            <w:vAlign w:val="center"/>
          </w:tcPr>
          <w:p w:rsidR="00816AF2" w:rsidRDefault="00816AF2"/>
        </w:tc>
        <w:tc>
          <w:tcPr>
            <w:tcW w:w="2310" w:type="dxa"/>
            <w:vMerge/>
            <w:vAlign w:val="center"/>
          </w:tcPr>
          <w:p w:rsidR="00816AF2" w:rsidRDefault="00816AF2"/>
        </w:tc>
        <w:tc>
          <w:tcPr>
            <w:tcW w:w="2310" w:type="dxa"/>
            <w:vAlign w:val="center"/>
          </w:tcPr>
          <w:p w:rsidR="00816AF2" w:rsidRDefault="00A05F67">
            <w:pPr>
              <w:jc w:val="center"/>
            </w:pPr>
            <w:r>
              <w:rPr>
                <w:i/>
                <w:sz w:val="20"/>
                <w:szCs w:val="20"/>
              </w:rPr>
              <w:t>2018</w:t>
            </w:r>
          </w:p>
        </w:tc>
        <w:tc>
          <w:tcPr>
            <w:tcW w:w="2310" w:type="dxa"/>
            <w:vAlign w:val="center"/>
          </w:tcPr>
          <w:p w:rsidR="00816AF2" w:rsidRDefault="00A05F67">
            <w:pPr>
              <w:jc w:val="center"/>
            </w:pPr>
            <w:r>
              <w:rPr>
                <w:i/>
                <w:sz w:val="20"/>
                <w:szCs w:val="20"/>
              </w:rPr>
              <w:t>2019</w:t>
            </w:r>
          </w:p>
        </w:tc>
        <w:tc>
          <w:tcPr>
            <w:tcW w:w="2310" w:type="dxa"/>
            <w:vAlign w:val="center"/>
          </w:tcPr>
          <w:p w:rsidR="00816AF2" w:rsidRDefault="00A05F67">
            <w:pPr>
              <w:jc w:val="center"/>
            </w:pPr>
            <w:r>
              <w:rPr>
                <w:i/>
                <w:sz w:val="20"/>
                <w:szCs w:val="20"/>
              </w:rPr>
              <w:t>2020</w:t>
            </w:r>
          </w:p>
        </w:tc>
        <w:tc>
          <w:tcPr>
            <w:tcW w:w="2310" w:type="dxa"/>
            <w:vAlign w:val="center"/>
          </w:tcPr>
          <w:p w:rsidR="00816AF2" w:rsidRDefault="00A05F67">
            <w:pPr>
              <w:jc w:val="center"/>
            </w:pPr>
            <w:r>
              <w:rPr>
                <w:i/>
                <w:sz w:val="20"/>
                <w:szCs w:val="20"/>
              </w:rPr>
              <w:t>2021</w:t>
            </w:r>
          </w:p>
        </w:tc>
        <w:tc>
          <w:tcPr>
            <w:tcW w:w="2310" w:type="dxa"/>
            <w:vAlign w:val="center"/>
          </w:tcPr>
          <w:p w:rsidR="00816AF2" w:rsidRDefault="00A05F67">
            <w:pPr>
              <w:jc w:val="center"/>
            </w:pPr>
            <w:r>
              <w:rPr>
                <w:i/>
                <w:sz w:val="20"/>
                <w:szCs w:val="20"/>
              </w:rPr>
              <w:t>2022</w:t>
            </w:r>
          </w:p>
        </w:tc>
        <w:tc>
          <w:tcPr>
            <w:tcW w:w="2310" w:type="dxa"/>
            <w:vAlign w:val="center"/>
          </w:tcPr>
          <w:p w:rsidR="00816AF2" w:rsidRDefault="00A05F67">
            <w:pPr>
              <w:jc w:val="center"/>
            </w:pPr>
            <w:r>
              <w:rPr>
                <w:i/>
                <w:sz w:val="20"/>
                <w:szCs w:val="20"/>
              </w:rPr>
              <w:t>FPV 2018</w:t>
            </w:r>
          </w:p>
        </w:tc>
        <w:tc>
          <w:tcPr>
            <w:tcW w:w="2310" w:type="dxa"/>
            <w:vAlign w:val="center"/>
          </w:tcPr>
          <w:p w:rsidR="00816AF2" w:rsidRDefault="00A05F67">
            <w:pPr>
              <w:jc w:val="center"/>
            </w:pPr>
            <w:r>
              <w:rPr>
                <w:i/>
                <w:sz w:val="20"/>
                <w:szCs w:val="20"/>
              </w:rPr>
              <w:t>FPV 2019</w:t>
            </w:r>
          </w:p>
        </w:tc>
        <w:tc>
          <w:tcPr>
            <w:tcW w:w="2310" w:type="dxa"/>
            <w:vAlign w:val="center"/>
          </w:tcPr>
          <w:p w:rsidR="00816AF2" w:rsidRDefault="00A05F67">
            <w:pPr>
              <w:jc w:val="center"/>
            </w:pPr>
            <w:r>
              <w:rPr>
                <w:i/>
                <w:sz w:val="20"/>
                <w:szCs w:val="20"/>
              </w:rPr>
              <w:t>FPV 2020</w:t>
            </w:r>
          </w:p>
        </w:tc>
      </w:tr>
      <w:tr w:rsidR="00816AF2" w:rsidTr="00816AF2">
        <w:tc>
          <w:tcPr>
            <w:tcW w:w="2310" w:type="dxa"/>
            <w:vAlign w:val="center"/>
          </w:tcPr>
          <w:p w:rsidR="00816AF2" w:rsidRDefault="00A05F67">
            <w:pPr>
              <w:jc w:val="center"/>
            </w:pPr>
            <w:r>
              <w:rPr>
                <w:rFonts w:ascii="Calibri" w:hAnsi="Calibri" w:cs="Calibri"/>
                <w:sz w:val="20"/>
                <w:szCs w:val="20"/>
              </w:rPr>
              <w:t>1</w:t>
            </w:r>
          </w:p>
        </w:tc>
        <w:tc>
          <w:tcPr>
            <w:tcW w:w="2310" w:type="dxa"/>
            <w:vAlign w:val="center"/>
          </w:tcPr>
          <w:p w:rsidR="00816AF2" w:rsidRDefault="00DF5824">
            <w:r>
              <w:rPr>
                <w:sz w:val="20"/>
                <w:szCs w:val="20"/>
              </w:rPr>
              <w:t>CONTENIMENTO COSTI DELLA STRTTURA</w:t>
            </w:r>
          </w:p>
        </w:tc>
        <w:tc>
          <w:tcPr>
            <w:tcW w:w="2310" w:type="dxa"/>
            <w:vAlign w:val="center"/>
          </w:tcPr>
          <w:p w:rsidR="00816AF2" w:rsidRDefault="00A05F67">
            <w:pPr>
              <w:jc w:val="right"/>
            </w:pPr>
            <w:r>
              <w:rPr>
                <w:sz w:val="18"/>
                <w:szCs w:val="18"/>
              </w:rPr>
              <w:t>352.900,00</w:t>
            </w:r>
          </w:p>
        </w:tc>
        <w:tc>
          <w:tcPr>
            <w:tcW w:w="2310" w:type="dxa"/>
            <w:vAlign w:val="center"/>
          </w:tcPr>
          <w:p w:rsidR="00816AF2" w:rsidRDefault="00A05F67">
            <w:pPr>
              <w:jc w:val="right"/>
            </w:pPr>
            <w:r>
              <w:rPr>
                <w:sz w:val="18"/>
                <w:szCs w:val="18"/>
              </w:rPr>
              <w:t>350.700,00</w:t>
            </w:r>
          </w:p>
        </w:tc>
        <w:tc>
          <w:tcPr>
            <w:tcW w:w="2310" w:type="dxa"/>
            <w:vAlign w:val="center"/>
          </w:tcPr>
          <w:p w:rsidR="00816AF2" w:rsidRDefault="00A05F67">
            <w:pPr>
              <w:jc w:val="right"/>
            </w:pPr>
            <w:r>
              <w:rPr>
                <w:sz w:val="18"/>
                <w:szCs w:val="18"/>
              </w:rPr>
              <w:t>350.500,00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r>
      <w:tr w:rsidR="00816AF2" w:rsidTr="00816AF2">
        <w:tc>
          <w:tcPr>
            <w:tcW w:w="2310" w:type="dxa"/>
            <w:gridSpan w:val="2"/>
            <w:vAlign w:val="center"/>
          </w:tcPr>
          <w:p w:rsidR="00816AF2" w:rsidRDefault="00A05F67">
            <w:pPr>
              <w:jc w:val="center"/>
            </w:pPr>
            <w:r>
              <w:rPr>
                <w:rFonts w:ascii="Calibri" w:hAnsi="Calibri" w:cs="Calibri"/>
                <w:b/>
                <w:sz w:val="20"/>
                <w:szCs w:val="20"/>
              </w:rPr>
              <w:t>TOTALE</w:t>
            </w:r>
          </w:p>
        </w:tc>
        <w:tc>
          <w:tcPr>
            <w:tcW w:w="2310" w:type="dxa"/>
            <w:vAlign w:val="center"/>
          </w:tcPr>
          <w:p w:rsidR="00816AF2" w:rsidRDefault="00A05F67">
            <w:pPr>
              <w:jc w:val="right"/>
            </w:pPr>
            <w:r>
              <w:rPr>
                <w:b/>
                <w:sz w:val="18"/>
                <w:szCs w:val="18"/>
              </w:rPr>
              <w:t>352.900,00</w:t>
            </w:r>
          </w:p>
        </w:tc>
        <w:tc>
          <w:tcPr>
            <w:tcW w:w="2310" w:type="dxa"/>
            <w:vAlign w:val="center"/>
          </w:tcPr>
          <w:p w:rsidR="00816AF2" w:rsidRDefault="00A05F67">
            <w:pPr>
              <w:jc w:val="right"/>
            </w:pPr>
            <w:r>
              <w:rPr>
                <w:b/>
                <w:sz w:val="18"/>
                <w:szCs w:val="18"/>
              </w:rPr>
              <w:t>350.700,00</w:t>
            </w:r>
          </w:p>
        </w:tc>
        <w:tc>
          <w:tcPr>
            <w:tcW w:w="2310" w:type="dxa"/>
            <w:vAlign w:val="center"/>
          </w:tcPr>
          <w:p w:rsidR="00816AF2" w:rsidRDefault="00A05F67">
            <w:pPr>
              <w:jc w:val="right"/>
            </w:pPr>
            <w:r>
              <w:rPr>
                <w:b/>
                <w:sz w:val="18"/>
                <w:szCs w:val="18"/>
              </w:rPr>
              <w:t>350.500,00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r>
    </w:tbl>
    <w:p w:rsidR="00816AF2" w:rsidRDefault="00816AF2"/>
    <w:p w:rsidR="00AD39AF" w:rsidRDefault="00AD39AF">
      <w:r w:rsidRPr="00AD39AF">
        <w:rPr>
          <w:b/>
        </w:rPr>
        <w:t>Descrizione dell’obiettivo:</w:t>
      </w:r>
      <w:r>
        <w:t xml:space="preserve"> Contenimento dei costi imputabili al Consorzio in quanto ente strumentale in forma associato delegato alla funzione di governo e coordinamento per assicurare la realizzazione dei servizi ai sensi della Legge 24/02 in attesa della trasformazione ai sensi della Legge 7/12.</w:t>
      </w:r>
    </w:p>
    <w:p w:rsidR="00DF5824" w:rsidRDefault="00AD39AF">
      <w:r w:rsidRPr="00AD39AF">
        <w:rPr>
          <w:b/>
        </w:rPr>
        <w:t>Motivazione della scelta:</w:t>
      </w:r>
      <w:r>
        <w:t xml:space="preserve"> Obiettivo motivato dall’opportunità di garantire un efficiente funzionamento del Consorzio e dei servizi da questi gestito.</w:t>
      </w:r>
    </w:p>
    <w:p w:rsidR="00AD39AF" w:rsidRDefault="00AD39AF"/>
    <w:p w:rsidR="00AD39AF" w:rsidRDefault="00AD39AF"/>
    <w:p w:rsidR="00AD39AF" w:rsidRDefault="00AD39AF"/>
    <w:p w:rsidR="00AD39AF" w:rsidRDefault="00AD39AF"/>
    <w:p w:rsidR="00AD39AF" w:rsidRDefault="00AD39AF"/>
    <w:tbl>
      <w:tblPr>
        <w:tblStyle w:val="Grigliachiara-Colore5"/>
        <w:tblW w:w="5000" w:type="pct"/>
        <w:tblLook w:val="0680" w:firstRow="0" w:lastRow="0" w:firstColumn="1" w:lastColumn="0" w:noHBand="1" w:noVBand="1"/>
      </w:tblPr>
      <w:tblGrid>
        <w:gridCol w:w="14502"/>
      </w:tblGrid>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t>Missione: 09 - Sviluppo sostenibile e tutela del territorio e dell'ambiente</w:t>
            </w:r>
          </w:p>
        </w:tc>
      </w:tr>
    </w:tbl>
    <w:p w:rsidR="00816AF2" w:rsidRDefault="00816AF2"/>
    <w:tbl>
      <w:tblPr>
        <w:tblStyle w:val="Grigliachiara-Colore5"/>
        <w:tblW w:w="5000" w:type="auto"/>
        <w:tblLook w:val="0620" w:firstRow="1" w:lastRow="0" w:firstColumn="0" w:lastColumn="0" w:noHBand="1" w:noVBand="1"/>
      </w:tblPr>
      <w:tblGrid>
        <w:gridCol w:w="910"/>
        <w:gridCol w:w="3865"/>
        <w:gridCol w:w="1474"/>
        <w:gridCol w:w="1474"/>
        <w:gridCol w:w="1474"/>
        <w:gridCol w:w="1061"/>
        <w:gridCol w:w="1061"/>
        <w:gridCol w:w="1061"/>
        <w:gridCol w:w="1061"/>
        <w:gridCol w:w="1061"/>
      </w:tblGrid>
      <w:tr w:rsidR="00816AF2" w:rsidTr="00816AF2">
        <w:trPr>
          <w:cnfStyle w:val="100000000000" w:firstRow="1" w:lastRow="0" w:firstColumn="0" w:lastColumn="0" w:oddVBand="0" w:evenVBand="0" w:oddHBand="0" w:evenHBand="0" w:firstRowFirstColumn="0" w:firstRowLastColumn="0" w:lastRowFirstColumn="0" w:lastRowLastColumn="0"/>
        </w:trPr>
        <w:tc>
          <w:tcPr>
            <w:tcW w:w="2310" w:type="dxa"/>
            <w:vMerge w:val="restart"/>
            <w:vAlign w:val="center"/>
          </w:tcPr>
          <w:p w:rsidR="00816AF2" w:rsidRDefault="00A05F67">
            <w:pPr>
              <w:jc w:val="center"/>
            </w:pPr>
            <w:r>
              <w:rPr>
                <w:rFonts w:ascii="Calibri" w:hAnsi="Calibri" w:cs="Calibri"/>
                <w:i/>
                <w:sz w:val="20"/>
                <w:szCs w:val="20"/>
              </w:rPr>
              <w:t>N°</w:t>
            </w:r>
          </w:p>
        </w:tc>
        <w:tc>
          <w:tcPr>
            <w:tcW w:w="10200" w:type="dxa"/>
            <w:vMerge w:val="restart"/>
            <w:vAlign w:val="center"/>
          </w:tcPr>
          <w:p w:rsidR="00816AF2" w:rsidRDefault="00A05F67">
            <w:pPr>
              <w:jc w:val="center"/>
            </w:pPr>
            <w:r>
              <w:rPr>
                <w:rFonts w:ascii="Calibri" w:hAnsi="Calibri" w:cs="Calibri"/>
                <w:i/>
                <w:sz w:val="20"/>
                <w:szCs w:val="20"/>
              </w:rPr>
              <w:t>Tema Strategico</w:t>
            </w:r>
          </w:p>
        </w:tc>
        <w:tc>
          <w:tcPr>
            <w:tcW w:w="2310" w:type="dxa"/>
            <w:gridSpan w:val="8"/>
            <w:vAlign w:val="center"/>
          </w:tcPr>
          <w:p w:rsidR="00816AF2" w:rsidRDefault="00A05F67">
            <w:pPr>
              <w:jc w:val="center"/>
            </w:pPr>
            <w:r>
              <w:rPr>
                <w:rFonts w:ascii="Calibri" w:hAnsi="Calibri" w:cs="Calibri"/>
                <w:i/>
                <w:sz w:val="20"/>
                <w:szCs w:val="20"/>
              </w:rPr>
              <w:t>Spese previste</w:t>
            </w:r>
          </w:p>
        </w:tc>
      </w:tr>
      <w:tr w:rsidR="00816AF2" w:rsidTr="00816AF2">
        <w:tc>
          <w:tcPr>
            <w:tcW w:w="2310" w:type="dxa"/>
            <w:vMerge/>
            <w:vAlign w:val="center"/>
          </w:tcPr>
          <w:p w:rsidR="00816AF2" w:rsidRDefault="00816AF2"/>
        </w:tc>
        <w:tc>
          <w:tcPr>
            <w:tcW w:w="2310" w:type="dxa"/>
            <w:vMerge/>
            <w:vAlign w:val="center"/>
          </w:tcPr>
          <w:p w:rsidR="00816AF2" w:rsidRDefault="00816AF2"/>
        </w:tc>
        <w:tc>
          <w:tcPr>
            <w:tcW w:w="2310" w:type="dxa"/>
            <w:vAlign w:val="center"/>
          </w:tcPr>
          <w:p w:rsidR="00816AF2" w:rsidRDefault="00A05F67">
            <w:pPr>
              <w:jc w:val="center"/>
            </w:pPr>
            <w:r>
              <w:rPr>
                <w:i/>
                <w:sz w:val="20"/>
                <w:szCs w:val="20"/>
              </w:rPr>
              <w:t>2018</w:t>
            </w:r>
          </w:p>
        </w:tc>
        <w:tc>
          <w:tcPr>
            <w:tcW w:w="2310" w:type="dxa"/>
            <w:vAlign w:val="center"/>
          </w:tcPr>
          <w:p w:rsidR="00816AF2" w:rsidRDefault="00A05F67">
            <w:pPr>
              <w:jc w:val="center"/>
            </w:pPr>
            <w:r>
              <w:rPr>
                <w:i/>
                <w:sz w:val="20"/>
                <w:szCs w:val="20"/>
              </w:rPr>
              <w:t>2019</w:t>
            </w:r>
          </w:p>
        </w:tc>
        <w:tc>
          <w:tcPr>
            <w:tcW w:w="2310" w:type="dxa"/>
            <w:vAlign w:val="center"/>
          </w:tcPr>
          <w:p w:rsidR="00816AF2" w:rsidRDefault="00A05F67">
            <w:pPr>
              <w:jc w:val="center"/>
            </w:pPr>
            <w:r>
              <w:rPr>
                <w:i/>
                <w:sz w:val="20"/>
                <w:szCs w:val="20"/>
              </w:rPr>
              <w:t>2020</w:t>
            </w:r>
          </w:p>
        </w:tc>
        <w:tc>
          <w:tcPr>
            <w:tcW w:w="2310" w:type="dxa"/>
            <w:vAlign w:val="center"/>
          </w:tcPr>
          <w:p w:rsidR="00816AF2" w:rsidRDefault="00A05F67">
            <w:pPr>
              <w:jc w:val="center"/>
            </w:pPr>
            <w:r>
              <w:rPr>
                <w:i/>
                <w:sz w:val="20"/>
                <w:szCs w:val="20"/>
              </w:rPr>
              <w:t>2021</w:t>
            </w:r>
          </w:p>
        </w:tc>
        <w:tc>
          <w:tcPr>
            <w:tcW w:w="2310" w:type="dxa"/>
            <w:vAlign w:val="center"/>
          </w:tcPr>
          <w:p w:rsidR="00816AF2" w:rsidRDefault="00A05F67">
            <w:pPr>
              <w:jc w:val="center"/>
            </w:pPr>
            <w:r>
              <w:rPr>
                <w:i/>
                <w:sz w:val="20"/>
                <w:szCs w:val="20"/>
              </w:rPr>
              <w:t>2022</w:t>
            </w:r>
          </w:p>
        </w:tc>
        <w:tc>
          <w:tcPr>
            <w:tcW w:w="2310" w:type="dxa"/>
            <w:vAlign w:val="center"/>
          </w:tcPr>
          <w:p w:rsidR="00816AF2" w:rsidRDefault="00A05F67">
            <w:pPr>
              <w:jc w:val="center"/>
            </w:pPr>
            <w:r>
              <w:rPr>
                <w:i/>
                <w:sz w:val="20"/>
                <w:szCs w:val="20"/>
              </w:rPr>
              <w:t>FPV 2018</w:t>
            </w:r>
          </w:p>
        </w:tc>
        <w:tc>
          <w:tcPr>
            <w:tcW w:w="2310" w:type="dxa"/>
            <w:vAlign w:val="center"/>
          </w:tcPr>
          <w:p w:rsidR="00816AF2" w:rsidRDefault="00A05F67">
            <w:pPr>
              <w:jc w:val="center"/>
            </w:pPr>
            <w:r>
              <w:rPr>
                <w:i/>
                <w:sz w:val="20"/>
                <w:szCs w:val="20"/>
              </w:rPr>
              <w:t>FPV 2019</w:t>
            </w:r>
          </w:p>
        </w:tc>
        <w:tc>
          <w:tcPr>
            <w:tcW w:w="2310" w:type="dxa"/>
            <w:vAlign w:val="center"/>
          </w:tcPr>
          <w:p w:rsidR="00816AF2" w:rsidRDefault="00A05F67">
            <w:pPr>
              <w:jc w:val="center"/>
            </w:pPr>
            <w:r>
              <w:rPr>
                <w:i/>
                <w:sz w:val="20"/>
                <w:szCs w:val="20"/>
              </w:rPr>
              <w:t>FPV 2020</w:t>
            </w:r>
          </w:p>
        </w:tc>
      </w:tr>
      <w:tr w:rsidR="00816AF2" w:rsidTr="00816AF2">
        <w:tc>
          <w:tcPr>
            <w:tcW w:w="2310" w:type="dxa"/>
            <w:vAlign w:val="center"/>
          </w:tcPr>
          <w:p w:rsidR="00816AF2" w:rsidRDefault="00A05F67">
            <w:pPr>
              <w:jc w:val="center"/>
            </w:pPr>
            <w:r>
              <w:rPr>
                <w:rFonts w:ascii="Calibri" w:hAnsi="Calibri" w:cs="Calibri"/>
                <w:sz w:val="20"/>
                <w:szCs w:val="20"/>
              </w:rPr>
              <w:t>1</w:t>
            </w:r>
          </w:p>
        </w:tc>
        <w:tc>
          <w:tcPr>
            <w:tcW w:w="2310" w:type="dxa"/>
            <w:vAlign w:val="center"/>
          </w:tcPr>
          <w:p w:rsidR="00816AF2" w:rsidRDefault="00AD39AF">
            <w:r>
              <w:rPr>
                <w:sz w:val="20"/>
                <w:szCs w:val="20"/>
              </w:rPr>
              <w:t>MONITORAGGIO PIANI FINANZIARI TARI PER CONTENIMENTO DELLA SPESA</w:t>
            </w:r>
          </w:p>
        </w:tc>
        <w:tc>
          <w:tcPr>
            <w:tcW w:w="2310" w:type="dxa"/>
            <w:vAlign w:val="center"/>
          </w:tcPr>
          <w:p w:rsidR="00816AF2" w:rsidRDefault="00A05F67">
            <w:pPr>
              <w:jc w:val="right"/>
            </w:pPr>
            <w:r>
              <w:rPr>
                <w:sz w:val="18"/>
                <w:szCs w:val="18"/>
              </w:rPr>
              <w:t>2.668.792,19</w:t>
            </w:r>
          </w:p>
        </w:tc>
        <w:tc>
          <w:tcPr>
            <w:tcW w:w="2310" w:type="dxa"/>
            <w:vAlign w:val="center"/>
          </w:tcPr>
          <w:p w:rsidR="00816AF2" w:rsidRDefault="00A05F67">
            <w:pPr>
              <w:jc w:val="right"/>
            </w:pPr>
            <w:r>
              <w:rPr>
                <w:sz w:val="18"/>
                <w:szCs w:val="18"/>
              </w:rPr>
              <w:t>2.671.130,59</w:t>
            </w:r>
          </w:p>
        </w:tc>
        <w:tc>
          <w:tcPr>
            <w:tcW w:w="2310" w:type="dxa"/>
            <w:vAlign w:val="center"/>
          </w:tcPr>
          <w:p w:rsidR="00816AF2" w:rsidRDefault="00A05F67">
            <w:pPr>
              <w:jc w:val="right"/>
            </w:pPr>
            <w:r>
              <w:rPr>
                <w:sz w:val="18"/>
                <w:szCs w:val="18"/>
              </w:rPr>
              <w:t>2.671.130,59</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r>
      <w:tr w:rsidR="00816AF2" w:rsidTr="00816AF2">
        <w:tc>
          <w:tcPr>
            <w:tcW w:w="2310" w:type="dxa"/>
            <w:vAlign w:val="center"/>
          </w:tcPr>
          <w:p w:rsidR="00816AF2" w:rsidRDefault="00A05F67">
            <w:pPr>
              <w:jc w:val="center"/>
            </w:pPr>
            <w:r>
              <w:rPr>
                <w:rFonts w:ascii="Calibri" w:hAnsi="Calibri" w:cs="Calibri"/>
                <w:sz w:val="20"/>
                <w:szCs w:val="20"/>
              </w:rPr>
              <w:t>2</w:t>
            </w:r>
          </w:p>
        </w:tc>
        <w:tc>
          <w:tcPr>
            <w:tcW w:w="2310" w:type="dxa"/>
            <w:vAlign w:val="center"/>
          </w:tcPr>
          <w:p w:rsidR="00816AF2" w:rsidRDefault="005B7CC1">
            <w:r>
              <w:rPr>
                <w:sz w:val="20"/>
                <w:szCs w:val="20"/>
              </w:rPr>
              <w:t>ANALISI FLUSSI DI RACCOLTA PER MANTENIMENTO %V RD E CONSEGUENTE INCREMENTO PROVENTI CONAI</w:t>
            </w:r>
          </w:p>
        </w:tc>
        <w:tc>
          <w:tcPr>
            <w:tcW w:w="2310" w:type="dxa"/>
            <w:vAlign w:val="center"/>
          </w:tcPr>
          <w:p w:rsidR="00816AF2" w:rsidRDefault="00A05F67">
            <w:pPr>
              <w:jc w:val="right"/>
            </w:pPr>
            <w:r>
              <w:rPr>
                <w:sz w:val="18"/>
                <w:szCs w:val="18"/>
              </w:rPr>
              <w:t>1.541.669,94</w:t>
            </w:r>
          </w:p>
        </w:tc>
        <w:tc>
          <w:tcPr>
            <w:tcW w:w="2310" w:type="dxa"/>
            <w:vAlign w:val="center"/>
          </w:tcPr>
          <w:p w:rsidR="00816AF2" w:rsidRDefault="00A05F67">
            <w:pPr>
              <w:jc w:val="right"/>
            </w:pPr>
            <w:r>
              <w:rPr>
                <w:sz w:val="18"/>
                <w:szCs w:val="18"/>
              </w:rPr>
              <w:t>1.409.211,45</w:t>
            </w:r>
          </w:p>
        </w:tc>
        <w:tc>
          <w:tcPr>
            <w:tcW w:w="2310" w:type="dxa"/>
            <w:vAlign w:val="center"/>
          </w:tcPr>
          <w:p w:rsidR="00816AF2" w:rsidRDefault="00A05F67">
            <w:pPr>
              <w:jc w:val="right"/>
            </w:pPr>
            <w:r>
              <w:rPr>
                <w:sz w:val="18"/>
                <w:szCs w:val="18"/>
              </w:rPr>
              <w:t>1.408.400,00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r>
      <w:tr w:rsidR="00816AF2" w:rsidTr="00816AF2">
        <w:tc>
          <w:tcPr>
            <w:tcW w:w="2310" w:type="dxa"/>
            <w:gridSpan w:val="2"/>
            <w:vAlign w:val="center"/>
          </w:tcPr>
          <w:p w:rsidR="00816AF2" w:rsidRDefault="00A05F67">
            <w:pPr>
              <w:jc w:val="center"/>
            </w:pPr>
            <w:r>
              <w:rPr>
                <w:rFonts w:ascii="Calibri" w:hAnsi="Calibri" w:cs="Calibri"/>
                <w:b/>
                <w:sz w:val="20"/>
                <w:szCs w:val="20"/>
              </w:rPr>
              <w:t>TOTALE</w:t>
            </w:r>
          </w:p>
        </w:tc>
        <w:tc>
          <w:tcPr>
            <w:tcW w:w="2310" w:type="dxa"/>
            <w:vAlign w:val="center"/>
          </w:tcPr>
          <w:p w:rsidR="00816AF2" w:rsidRDefault="00A05F67">
            <w:pPr>
              <w:jc w:val="right"/>
            </w:pPr>
            <w:r>
              <w:rPr>
                <w:b/>
                <w:sz w:val="18"/>
                <w:szCs w:val="18"/>
              </w:rPr>
              <w:t>4.210.462,13</w:t>
            </w:r>
          </w:p>
        </w:tc>
        <w:tc>
          <w:tcPr>
            <w:tcW w:w="2310" w:type="dxa"/>
            <w:vAlign w:val="center"/>
          </w:tcPr>
          <w:p w:rsidR="00816AF2" w:rsidRDefault="00A05F67">
            <w:pPr>
              <w:jc w:val="right"/>
            </w:pPr>
            <w:r>
              <w:rPr>
                <w:b/>
                <w:sz w:val="18"/>
                <w:szCs w:val="18"/>
              </w:rPr>
              <w:t>4.080.342,04</w:t>
            </w:r>
          </w:p>
        </w:tc>
        <w:tc>
          <w:tcPr>
            <w:tcW w:w="2310" w:type="dxa"/>
            <w:vAlign w:val="center"/>
          </w:tcPr>
          <w:p w:rsidR="00816AF2" w:rsidRDefault="00A05F67">
            <w:pPr>
              <w:jc w:val="right"/>
            </w:pPr>
            <w:r>
              <w:rPr>
                <w:b/>
                <w:sz w:val="18"/>
                <w:szCs w:val="18"/>
              </w:rPr>
              <w:t>4.079.530,59</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r>
    </w:tbl>
    <w:p w:rsidR="00816AF2" w:rsidRDefault="00816AF2"/>
    <w:p w:rsidR="005B7CC1" w:rsidRPr="002272D1" w:rsidRDefault="005B7CC1" w:rsidP="005B7CC1">
      <w:r w:rsidRPr="002272D1">
        <w:rPr>
          <w:b/>
        </w:rPr>
        <w:t xml:space="preserve">Descrizione dell’obiettivo: </w:t>
      </w:r>
      <w:r w:rsidRPr="002272D1">
        <w:t xml:space="preserve">In quanto soggetto competente al governo della gestione dei rifiuti obiettivo primario è quello di coordinare con gli enti e società preposte la riorganizzazione dei servizi di raccolta rifiuti al fine di ottenere sempre più elevate % di raccolta differenziata; </w:t>
      </w:r>
    </w:p>
    <w:p w:rsidR="005B7CC1" w:rsidRDefault="005B7CC1" w:rsidP="005B7CC1">
      <w:r w:rsidRPr="002272D1">
        <w:t>Il Consorzio procederà inoltre ad un monitoraggio dei costi imputati ai Piani Finanziari dei Comuni di Stresa e Crevoladossola per i quali il Consorzio detiene la gestione del tributo TARI al fine di raggiungere l’obietti</w:t>
      </w:r>
      <w:r>
        <w:t>vo di contenimento della spesa.</w:t>
      </w:r>
    </w:p>
    <w:p w:rsidR="005B7CC1" w:rsidRDefault="005B7CC1"/>
    <w:p w:rsidR="005B7CC1" w:rsidRDefault="005B7CC1"/>
    <w:p w:rsidR="005B7CC1" w:rsidRDefault="005B7CC1"/>
    <w:p w:rsidR="005B7CC1" w:rsidRDefault="005B7CC1"/>
    <w:p w:rsidR="005B7CC1" w:rsidRDefault="005B7CC1"/>
    <w:p w:rsidR="005B7CC1" w:rsidRDefault="005B7CC1"/>
    <w:p w:rsidR="005B7CC1" w:rsidRDefault="005B7CC1"/>
    <w:p w:rsidR="005B7CC1" w:rsidRDefault="005B7CC1"/>
    <w:p w:rsidR="005B7CC1" w:rsidRDefault="005B7CC1"/>
    <w:tbl>
      <w:tblPr>
        <w:tblStyle w:val="Grigliachiara-Colore5"/>
        <w:tblW w:w="5000" w:type="pct"/>
        <w:tblLook w:val="0680" w:firstRow="0" w:lastRow="0" w:firstColumn="1" w:lastColumn="0" w:noHBand="1" w:noVBand="1"/>
      </w:tblPr>
      <w:tblGrid>
        <w:gridCol w:w="14502"/>
      </w:tblGrid>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t>Missione: 20 - Fondi e accantonamenti</w:t>
            </w:r>
          </w:p>
        </w:tc>
      </w:tr>
    </w:tbl>
    <w:p w:rsidR="00816AF2" w:rsidRDefault="00816AF2"/>
    <w:tbl>
      <w:tblPr>
        <w:tblStyle w:val="Grigliachiara-Colore5"/>
        <w:tblW w:w="5000" w:type="auto"/>
        <w:tblLook w:val="0620" w:firstRow="1" w:lastRow="0" w:firstColumn="0" w:lastColumn="0" w:noHBand="1" w:noVBand="1"/>
      </w:tblPr>
      <w:tblGrid>
        <w:gridCol w:w="984"/>
        <w:gridCol w:w="3804"/>
        <w:gridCol w:w="1358"/>
        <w:gridCol w:w="1358"/>
        <w:gridCol w:w="1358"/>
        <w:gridCol w:w="1128"/>
        <w:gridCol w:w="1128"/>
        <w:gridCol w:w="1128"/>
        <w:gridCol w:w="1128"/>
        <w:gridCol w:w="1128"/>
      </w:tblGrid>
      <w:tr w:rsidR="00816AF2" w:rsidTr="00816AF2">
        <w:trPr>
          <w:cnfStyle w:val="100000000000" w:firstRow="1" w:lastRow="0" w:firstColumn="0" w:lastColumn="0" w:oddVBand="0" w:evenVBand="0" w:oddHBand="0" w:evenHBand="0" w:firstRowFirstColumn="0" w:firstRowLastColumn="0" w:lastRowFirstColumn="0" w:lastRowLastColumn="0"/>
        </w:trPr>
        <w:tc>
          <w:tcPr>
            <w:tcW w:w="2310" w:type="dxa"/>
            <w:vMerge w:val="restart"/>
            <w:vAlign w:val="center"/>
          </w:tcPr>
          <w:p w:rsidR="00816AF2" w:rsidRDefault="00A05F67">
            <w:pPr>
              <w:jc w:val="center"/>
            </w:pPr>
            <w:r>
              <w:rPr>
                <w:rFonts w:ascii="Calibri" w:hAnsi="Calibri" w:cs="Calibri"/>
                <w:i/>
                <w:sz w:val="20"/>
                <w:szCs w:val="20"/>
              </w:rPr>
              <w:t>N°</w:t>
            </w:r>
          </w:p>
        </w:tc>
        <w:tc>
          <w:tcPr>
            <w:tcW w:w="10200" w:type="dxa"/>
            <w:vMerge w:val="restart"/>
            <w:vAlign w:val="center"/>
          </w:tcPr>
          <w:p w:rsidR="00816AF2" w:rsidRDefault="00A05F67">
            <w:pPr>
              <w:jc w:val="center"/>
            </w:pPr>
            <w:r>
              <w:rPr>
                <w:rFonts w:ascii="Calibri" w:hAnsi="Calibri" w:cs="Calibri"/>
                <w:i/>
                <w:sz w:val="20"/>
                <w:szCs w:val="20"/>
              </w:rPr>
              <w:t>Tema Strategico</w:t>
            </w:r>
          </w:p>
        </w:tc>
        <w:tc>
          <w:tcPr>
            <w:tcW w:w="2310" w:type="dxa"/>
            <w:gridSpan w:val="8"/>
            <w:vAlign w:val="center"/>
          </w:tcPr>
          <w:p w:rsidR="00816AF2" w:rsidRDefault="00A05F67">
            <w:pPr>
              <w:jc w:val="center"/>
            </w:pPr>
            <w:r>
              <w:rPr>
                <w:rFonts w:ascii="Calibri" w:hAnsi="Calibri" w:cs="Calibri"/>
                <w:i/>
                <w:sz w:val="20"/>
                <w:szCs w:val="20"/>
              </w:rPr>
              <w:t>Spese previste</w:t>
            </w:r>
          </w:p>
        </w:tc>
      </w:tr>
      <w:tr w:rsidR="00816AF2" w:rsidTr="00816AF2">
        <w:tc>
          <w:tcPr>
            <w:tcW w:w="2310" w:type="dxa"/>
            <w:vMerge/>
            <w:vAlign w:val="center"/>
          </w:tcPr>
          <w:p w:rsidR="00816AF2" w:rsidRDefault="00816AF2"/>
        </w:tc>
        <w:tc>
          <w:tcPr>
            <w:tcW w:w="2310" w:type="dxa"/>
            <w:vMerge/>
            <w:vAlign w:val="center"/>
          </w:tcPr>
          <w:p w:rsidR="00816AF2" w:rsidRDefault="00816AF2"/>
        </w:tc>
        <w:tc>
          <w:tcPr>
            <w:tcW w:w="2310" w:type="dxa"/>
            <w:vAlign w:val="center"/>
          </w:tcPr>
          <w:p w:rsidR="00816AF2" w:rsidRDefault="00A05F67">
            <w:pPr>
              <w:jc w:val="center"/>
            </w:pPr>
            <w:r>
              <w:rPr>
                <w:i/>
                <w:sz w:val="20"/>
                <w:szCs w:val="20"/>
              </w:rPr>
              <w:t>2018</w:t>
            </w:r>
          </w:p>
        </w:tc>
        <w:tc>
          <w:tcPr>
            <w:tcW w:w="2310" w:type="dxa"/>
            <w:vAlign w:val="center"/>
          </w:tcPr>
          <w:p w:rsidR="00816AF2" w:rsidRDefault="00A05F67">
            <w:pPr>
              <w:jc w:val="center"/>
            </w:pPr>
            <w:r>
              <w:rPr>
                <w:i/>
                <w:sz w:val="20"/>
                <w:szCs w:val="20"/>
              </w:rPr>
              <w:t>2019</w:t>
            </w:r>
          </w:p>
        </w:tc>
        <w:tc>
          <w:tcPr>
            <w:tcW w:w="2310" w:type="dxa"/>
            <w:vAlign w:val="center"/>
          </w:tcPr>
          <w:p w:rsidR="00816AF2" w:rsidRDefault="00A05F67">
            <w:pPr>
              <w:jc w:val="center"/>
            </w:pPr>
            <w:r>
              <w:rPr>
                <w:i/>
                <w:sz w:val="20"/>
                <w:szCs w:val="20"/>
              </w:rPr>
              <w:t>2020</w:t>
            </w:r>
          </w:p>
        </w:tc>
        <w:tc>
          <w:tcPr>
            <w:tcW w:w="2310" w:type="dxa"/>
            <w:vAlign w:val="center"/>
          </w:tcPr>
          <w:p w:rsidR="00816AF2" w:rsidRDefault="00A05F67">
            <w:pPr>
              <w:jc w:val="center"/>
            </w:pPr>
            <w:r>
              <w:rPr>
                <w:i/>
                <w:sz w:val="20"/>
                <w:szCs w:val="20"/>
              </w:rPr>
              <w:t>2021</w:t>
            </w:r>
          </w:p>
        </w:tc>
        <w:tc>
          <w:tcPr>
            <w:tcW w:w="2310" w:type="dxa"/>
            <w:vAlign w:val="center"/>
          </w:tcPr>
          <w:p w:rsidR="00816AF2" w:rsidRDefault="00A05F67">
            <w:pPr>
              <w:jc w:val="center"/>
            </w:pPr>
            <w:r>
              <w:rPr>
                <w:i/>
                <w:sz w:val="20"/>
                <w:szCs w:val="20"/>
              </w:rPr>
              <w:t>2022</w:t>
            </w:r>
          </w:p>
        </w:tc>
        <w:tc>
          <w:tcPr>
            <w:tcW w:w="2310" w:type="dxa"/>
            <w:vAlign w:val="center"/>
          </w:tcPr>
          <w:p w:rsidR="00816AF2" w:rsidRDefault="00A05F67">
            <w:pPr>
              <w:jc w:val="center"/>
            </w:pPr>
            <w:r>
              <w:rPr>
                <w:i/>
                <w:sz w:val="20"/>
                <w:szCs w:val="20"/>
              </w:rPr>
              <w:t>FPV 2018</w:t>
            </w:r>
          </w:p>
        </w:tc>
        <w:tc>
          <w:tcPr>
            <w:tcW w:w="2310" w:type="dxa"/>
            <w:vAlign w:val="center"/>
          </w:tcPr>
          <w:p w:rsidR="00816AF2" w:rsidRDefault="00A05F67">
            <w:pPr>
              <w:jc w:val="center"/>
            </w:pPr>
            <w:r>
              <w:rPr>
                <w:i/>
                <w:sz w:val="20"/>
                <w:szCs w:val="20"/>
              </w:rPr>
              <w:t>FPV 2019</w:t>
            </w:r>
          </w:p>
        </w:tc>
        <w:tc>
          <w:tcPr>
            <w:tcW w:w="2310" w:type="dxa"/>
            <w:vAlign w:val="center"/>
          </w:tcPr>
          <w:p w:rsidR="00816AF2" w:rsidRDefault="00A05F67">
            <w:pPr>
              <w:jc w:val="center"/>
            </w:pPr>
            <w:r>
              <w:rPr>
                <w:i/>
                <w:sz w:val="20"/>
                <w:szCs w:val="20"/>
              </w:rPr>
              <w:t>FPV 2020</w:t>
            </w:r>
          </w:p>
        </w:tc>
      </w:tr>
      <w:tr w:rsidR="00816AF2" w:rsidTr="00816AF2">
        <w:tc>
          <w:tcPr>
            <w:tcW w:w="2310" w:type="dxa"/>
            <w:vAlign w:val="center"/>
          </w:tcPr>
          <w:p w:rsidR="00816AF2" w:rsidRDefault="00A05F67">
            <w:pPr>
              <w:jc w:val="center"/>
            </w:pPr>
            <w:r>
              <w:rPr>
                <w:rFonts w:ascii="Calibri" w:hAnsi="Calibri" w:cs="Calibri"/>
                <w:sz w:val="20"/>
                <w:szCs w:val="20"/>
              </w:rPr>
              <w:t>1</w:t>
            </w:r>
          </w:p>
        </w:tc>
        <w:tc>
          <w:tcPr>
            <w:tcW w:w="2310" w:type="dxa"/>
            <w:vAlign w:val="center"/>
          </w:tcPr>
          <w:p w:rsidR="00816AF2" w:rsidRDefault="00A05F67">
            <w:r>
              <w:rPr>
                <w:sz w:val="20"/>
                <w:szCs w:val="20"/>
              </w:rPr>
              <w:t>Bilancio e Macchina Comunale</w:t>
            </w:r>
          </w:p>
        </w:tc>
        <w:tc>
          <w:tcPr>
            <w:tcW w:w="2310" w:type="dxa"/>
            <w:vAlign w:val="center"/>
          </w:tcPr>
          <w:p w:rsidR="00816AF2" w:rsidRDefault="005B7CC1">
            <w:pPr>
              <w:jc w:val="right"/>
            </w:pPr>
            <w:r>
              <w:rPr>
                <w:sz w:val="18"/>
                <w:szCs w:val="18"/>
              </w:rPr>
              <w:t>15.000,00</w:t>
            </w:r>
          </w:p>
        </w:tc>
        <w:tc>
          <w:tcPr>
            <w:tcW w:w="2310" w:type="dxa"/>
            <w:vAlign w:val="center"/>
          </w:tcPr>
          <w:p w:rsidR="00816AF2" w:rsidRDefault="005B7CC1">
            <w:pPr>
              <w:jc w:val="right"/>
            </w:pPr>
            <w:r>
              <w:rPr>
                <w:sz w:val="18"/>
                <w:szCs w:val="18"/>
              </w:rPr>
              <w:t>15.000,00</w:t>
            </w:r>
          </w:p>
        </w:tc>
        <w:tc>
          <w:tcPr>
            <w:tcW w:w="2310" w:type="dxa"/>
            <w:vAlign w:val="center"/>
          </w:tcPr>
          <w:p w:rsidR="00816AF2" w:rsidRDefault="005B7CC1">
            <w:pPr>
              <w:jc w:val="right"/>
            </w:pPr>
            <w:r>
              <w:rPr>
                <w:sz w:val="18"/>
                <w:szCs w:val="18"/>
              </w:rPr>
              <w:t>15.000,00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r>
      <w:tr w:rsidR="00816AF2" w:rsidTr="00816AF2">
        <w:tc>
          <w:tcPr>
            <w:tcW w:w="2310" w:type="dxa"/>
            <w:gridSpan w:val="2"/>
            <w:vAlign w:val="center"/>
          </w:tcPr>
          <w:p w:rsidR="00816AF2" w:rsidRDefault="00A05F67">
            <w:pPr>
              <w:jc w:val="center"/>
            </w:pPr>
            <w:r>
              <w:rPr>
                <w:rFonts w:ascii="Calibri" w:hAnsi="Calibri" w:cs="Calibri"/>
                <w:b/>
                <w:sz w:val="20"/>
                <w:szCs w:val="20"/>
              </w:rPr>
              <w:t>TOTALE</w:t>
            </w:r>
          </w:p>
        </w:tc>
        <w:tc>
          <w:tcPr>
            <w:tcW w:w="2310" w:type="dxa"/>
            <w:vAlign w:val="center"/>
          </w:tcPr>
          <w:p w:rsidR="00816AF2" w:rsidRDefault="005B7CC1">
            <w:pPr>
              <w:jc w:val="right"/>
            </w:pPr>
            <w:r>
              <w:rPr>
                <w:b/>
                <w:sz w:val="18"/>
                <w:szCs w:val="18"/>
              </w:rPr>
              <w:t>15.000,00</w:t>
            </w:r>
          </w:p>
        </w:tc>
        <w:tc>
          <w:tcPr>
            <w:tcW w:w="2310" w:type="dxa"/>
            <w:vAlign w:val="center"/>
          </w:tcPr>
          <w:p w:rsidR="00816AF2" w:rsidRDefault="005B7CC1">
            <w:pPr>
              <w:jc w:val="right"/>
            </w:pPr>
            <w:r>
              <w:rPr>
                <w:b/>
                <w:sz w:val="18"/>
                <w:szCs w:val="18"/>
              </w:rPr>
              <w:t>15.000,00</w:t>
            </w:r>
          </w:p>
        </w:tc>
        <w:tc>
          <w:tcPr>
            <w:tcW w:w="2310" w:type="dxa"/>
            <w:vAlign w:val="center"/>
          </w:tcPr>
          <w:p w:rsidR="00816AF2" w:rsidRDefault="005B7CC1">
            <w:pPr>
              <w:jc w:val="right"/>
            </w:pPr>
            <w:r>
              <w:rPr>
                <w:b/>
                <w:sz w:val="18"/>
                <w:szCs w:val="18"/>
              </w:rPr>
              <w:t>15.000,00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r>
    </w:tbl>
    <w:p w:rsidR="00816AF2" w:rsidRDefault="00816AF2"/>
    <w:p w:rsidR="005B7CC1" w:rsidRPr="002272D1" w:rsidRDefault="005B7CC1" w:rsidP="005B7CC1">
      <w:r w:rsidRPr="002272D1">
        <w:rPr>
          <w:b/>
        </w:rPr>
        <w:t xml:space="preserve">Descrizione dell’obiettivo: </w:t>
      </w:r>
      <w:r w:rsidRPr="002272D1">
        <w:t xml:space="preserve">In quanto soggetto competente al governo della gestione dei rifiuti obiettivo primario è quello di coordinare con gli enti e società preposte la riorganizzazione dei servizi di raccolta rifiuti al fine di ottenere sempre più elevate % di raccolta differenziata; </w:t>
      </w:r>
    </w:p>
    <w:p w:rsidR="005B7CC1" w:rsidRDefault="005B7CC1" w:rsidP="005B7CC1">
      <w:r w:rsidRPr="002272D1">
        <w:t>Il Consorzio procederà inoltre ad un monitoraggio dei costi imputati ai Piani Finanziari dei Comuni di Stresa e Crevoladossola per i quali il Consorzio detiene la gestione del tributo TARI al fine di raggiungere l’obietti</w:t>
      </w:r>
      <w:r>
        <w:t>vo di contenimento della spesa.</w:t>
      </w:r>
    </w:p>
    <w:p w:rsidR="005B7CC1" w:rsidRDefault="005B7CC1"/>
    <w:tbl>
      <w:tblPr>
        <w:tblStyle w:val="Grigliachiara-Colore5"/>
        <w:tblW w:w="5000" w:type="pct"/>
        <w:tblLook w:val="0680" w:firstRow="0" w:lastRow="0" w:firstColumn="1" w:lastColumn="0" w:noHBand="1" w:noVBand="1"/>
      </w:tblPr>
      <w:tblGrid>
        <w:gridCol w:w="14502"/>
      </w:tblGrid>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t>Missione: 50 - Debito pubblico</w:t>
            </w:r>
          </w:p>
        </w:tc>
      </w:tr>
    </w:tbl>
    <w:p w:rsidR="00816AF2" w:rsidRDefault="00816AF2"/>
    <w:tbl>
      <w:tblPr>
        <w:tblStyle w:val="Grigliachiara-Colore5"/>
        <w:tblW w:w="5000" w:type="auto"/>
        <w:tblLook w:val="0620" w:firstRow="1" w:lastRow="0" w:firstColumn="0" w:lastColumn="0" w:noHBand="1" w:noVBand="1"/>
      </w:tblPr>
      <w:tblGrid>
        <w:gridCol w:w="968"/>
        <w:gridCol w:w="4158"/>
        <w:gridCol w:w="1346"/>
        <w:gridCol w:w="1346"/>
        <w:gridCol w:w="1114"/>
        <w:gridCol w:w="1114"/>
        <w:gridCol w:w="1114"/>
        <w:gridCol w:w="1114"/>
        <w:gridCol w:w="1114"/>
        <w:gridCol w:w="1114"/>
      </w:tblGrid>
      <w:tr w:rsidR="00816AF2" w:rsidTr="00816AF2">
        <w:trPr>
          <w:cnfStyle w:val="100000000000" w:firstRow="1" w:lastRow="0" w:firstColumn="0" w:lastColumn="0" w:oddVBand="0" w:evenVBand="0" w:oddHBand="0" w:evenHBand="0" w:firstRowFirstColumn="0" w:firstRowLastColumn="0" w:lastRowFirstColumn="0" w:lastRowLastColumn="0"/>
        </w:trPr>
        <w:tc>
          <w:tcPr>
            <w:tcW w:w="2310" w:type="dxa"/>
            <w:vMerge w:val="restart"/>
            <w:vAlign w:val="center"/>
          </w:tcPr>
          <w:p w:rsidR="00816AF2" w:rsidRDefault="00A05F67">
            <w:pPr>
              <w:jc w:val="center"/>
            </w:pPr>
            <w:r>
              <w:rPr>
                <w:rFonts w:ascii="Calibri" w:hAnsi="Calibri" w:cs="Calibri"/>
                <w:i/>
                <w:sz w:val="20"/>
                <w:szCs w:val="20"/>
              </w:rPr>
              <w:t>N°</w:t>
            </w:r>
          </w:p>
        </w:tc>
        <w:tc>
          <w:tcPr>
            <w:tcW w:w="10200" w:type="dxa"/>
            <w:vMerge w:val="restart"/>
            <w:vAlign w:val="center"/>
          </w:tcPr>
          <w:p w:rsidR="00816AF2" w:rsidRDefault="00A05F67">
            <w:pPr>
              <w:jc w:val="center"/>
            </w:pPr>
            <w:r>
              <w:rPr>
                <w:rFonts w:ascii="Calibri" w:hAnsi="Calibri" w:cs="Calibri"/>
                <w:i/>
                <w:sz w:val="20"/>
                <w:szCs w:val="20"/>
              </w:rPr>
              <w:t>Tema Strategico</w:t>
            </w:r>
          </w:p>
        </w:tc>
        <w:tc>
          <w:tcPr>
            <w:tcW w:w="2310" w:type="dxa"/>
            <w:gridSpan w:val="8"/>
            <w:vAlign w:val="center"/>
          </w:tcPr>
          <w:p w:rsidR="00816AF2" w:rsidRDefault="00A05F67">
            <w:pPr>
              <w:jc w:val="center"/>
            </w:pPr>
            <w:r>
              <w:rPr>
                <w:rFonts w:ascii="Calibri" w:hAnsi="Calibri" w:cs="Calibri"/>
                <w:i/>
                <w:sz w:val="20"/>
                <w:szCs w:val="20"/>
              </w:rPr>
              <w:t>Spese previste</w:t>
            </w:r>
          </w:p>
        </w:tc>
      </w:tr>
      <w:tr w:rsidR="00816AF2" w:rsidTr="00816AF2">
        <w:tc>
          <w:tcPr>
            <w:tcW w:w="2310" w:type="dxa"/>
            <w:vMerge/>
            <w:vAlign w:val="center"/>
          </w:tcPr>
          <w:p w:rsidR="00816AF2" w:rsidRDefault="00816AF2"/>
        </w:tc>
        <w:tc>
          <w:tcPr>
            <w:tcW w:w="2310" w:type="dxa"/>
            <w:vMerge/>
            <w:vAlign w:val="center"/>
          </w:tcPr>
          <w:p w:rsidR="00816AF2" w:rsidRDefault="00816AF2"/>
        </w:tc>
        <w:tc>
          <w:tcPr>
            <w:tcW w:w="2310" w:type="dxa"/>
            <w:vAlign w:val="center"/>
          </w:tcPr>
          <w:p w:rsidR="00816AF2" w:rsidRDefault="00A05F67">
            <w:pPr>
              <w:jc w:val="center"/>
            </w:pPr>
            <w:r>
              <w:rPr>
                <w:i/>
                <w:sz w:val="20"/>
                <w:szCs w:val="20"/>
              </w:rPr>
              <w:t>2018</w:t>
            </w:r>
          </w:p>
        </w:tc>
        <w:tc>
          <w:tcPr>
            <w:tcW w:w="2310" w:type="dxa"/>
            <w:vAlign w:val="center"/>
          </w:tcPr>
          <w:p w:rsidR="00816AF2" w:rsidRDefault="00A05F67">
            <w:pPr>
              <w:jc w:val="center"/>
            </w:pPr>
            <w:r>
              <w:rPr>
                <w:i/>
                <w:sz w:val="20"/>
                <w:szCs w:val="20"/>
              </w:rPr>
              <w:t>2019</w:t>
            </w:r>
          </w:p>
        </w:tc>
        <w:tc>
          <w:tcPr>
            <w:tcW w:w="2310" w:type="dxa"/>
            <w:vAlign w:val="center"/>
          </w:tcPr>
          <w:p w:rsidR="00816AF2" w:rsidRDefault="00A05F67">
            <w:pPr>
              <w:jc w:val="center"/>
            </w:pPr>
            <w:r>
              <w:rPr>
                <w:i/>
                <w:sz w:val="20"/>
                <w:szCs w:val="20"/>
              </w:rPr>
              <w:t>2020</w:t>
            </w:r>
          </w:p>
        </w:tc>
        <w:tc>
          <w:tcPr>
            <w:tcW w:w="2310" w:type="dxa"/>
            <w:vAlign w:val="center"/>
          </w:tcPr>
          <w:p w:rsidR="00816AF2" w:rsidRDefault="00A05F67">
            <w:pPr>
              <w:jc w:val="center"/>
            </w:pPr>
            <w:r>
              <w:rPr>
                <w:i/>
                <w:sz w:val="20"/>
                <w:szCs w:val="20"/>
              </w:rPr>
              <w:t>2021</w:t>
            </w:r>
          </w:p>
        </w:tc>
        <w:tc>
          <w:tcPr>
            <w:tcW w:w="2310" w:type="dxa"/>
            <w:vAlign w:val="center"/>
          </w:tcPr>
          <w:p w:rsidR="00816AF2" w:rsidRDefault="00A05F67">
            <w:pPr>
              <w:jc w:val="center"/>
            </w:pPr>
            <w:r>
              <w:rPr>
                <w:i/>
                <w:sz w:val="20"/>
                <w:szCs w:val="20"/>
              </w:rPr>
              <w:t>2022</w:t>
            </w:r>
          </w:p>
        </w:tc>
        <w:tc>
          <w:tcPr>
            <w:tcW w:w="2310" w:type="dxa"/>
            <w:vAlign w:val="center"/>
          </w:tcPr>
          <w:p w:rsidR="00816AF2" w:rsidRDefault="00A05F67">
            <w:pPr>
              <w:jc w:val="center"/>
            </w:pPr>
            <w:r>
              <w:rPr>
                <w:i/>
                <w:sz w:val="20"/>
                <w:szCs w:val="20"/>
              </w:rPr>
              <w:t>FPV 2018</w:t>
            </w:r>
          </w:p>
        </w:tc>
        <w:tc>
          <w:tcPr>
            <w:tcW w:w="2310" w:type="dxa"/>
            <w:vAlign w:val="center"/>
          </w:tcPr>
          <w:p w:rsidR="00816AF2" w:rsidRDefault="00A05F67">
            <w:pPr>
              <w:jc w:val="center"/>
            </w:pPr>
            <w:r>
              <w:rPr>
                <w:i/>
                <w:sz w:val="20"/>
                <w:szCs w:val="20"/>
              </w:rPr>
              <w:t>FPV 2019</w:t>
            </w:r>
          </w:p>
        </w:tc>
        <w:tc>
          <w:tcPr>
            <w:tcW w:w="2310" w:type="dxa"/>
            <w:vAlign w:val="center"/>
          </w:tcPr>
          <w:p w:rsidR="00816AF2" w:rsidRDefault="00A05F67">
            <w:pPr>
              <w:jc w:val="center"/>
            </w:pPr>
            <w:r>
              <w:rPr>
                <w:i/>
                <w:sz w:val="20"/>
                <w:szCs w:val="20"/>
              </w:rPr>
              <w:t>FPV 2020</w:t>
            </w:r>
          </w:p>
        </w:tc>
      </w:tr>
      <w:tr w:rsidR="00816AF2" w:rsidTr="00816AF2">
        <w:tc>
          <w:tcPr>
            <w:tcW w:w="2310" w:type="dxa"/>
            <w:vAlign w:val="center"/>
          </w:tcPr>
          <w:p w:rsidR="00816AF2" w:rsidRDefault="00A05F67">
            <w:pPr>
              <w:jc w:val="center"/>
            </w:pPr>
            <w:r>
              <w:rPr>
                <w:rFonts w:ascii="Calibri" w:hAnsi="Calibri" w:cs="Calibri"/>
                <w:sz w:val="20"/>
                <w:szCs w:val="20"/>
              </w:rPr>
              <w:t>1</w:t>
            </w:r>
          </w:p>
        </w:tc>
        <w:tc>
          <w:tcPr>
            <w:tcW w:w="2310" w:type="dxa"/>
            <w:vAlign w:val="center"/>
          </w:tcPr>
          <w:p w:rsidR="00816AF2" w:rsidRDefault="005B7CC1">
            <w:r>
              <w:rPr>
                <w:sz w:val="20"/>
                <w:szCs w:val="20"/>
              </w:rPr>
              <w:t>NON ACCENSIONE DI NUOVI MUTUI E GESTIONE AMMORTAMENTI MUTUI IN ESSERER</w:t>
            </w:r>
          </w:p>
        </w:tc>
        <w:tc>
          <w:tcPr>
            <w:tcW w:w="2310" w:type="dxa"/>
            <w:vAlign w:val="center"/>
          </w:tcPr>
          <w:p w:rsidR="00816AF2" w:rsidRDefault="00A05F67">
            <w:pPr>
              <w:jc w:val="right"/>
            </w:pPr>
            <w:r>
              <w:rPr>
                <w:sz w:val="18"/>
                <w:szCs w:val="18"/>
              </w:rPr>
              <w:t>34.610,00</w:t>
            </w:r>
          </w:p>
        </w:tc>
        <w:tc>
          <w:tcPr>
            <w:tcW w:w="2310" w:type="dxa"/>
            <w:vAlign w:val="center"/>
          </w:tcPr>
          <w:p w:rsidR="00816AF2" w:rsidRDefault="00A05F67">
            <w:pPr>
              <w:jc w:val="right"/>
            </w:pPr>
            <w:r>
              <w:rPr>
                <w:sz w:val="18"/>
                <w:szCs w:val="18"/>
              </w:rPr>
              <w:t>19.480,76</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r>
      <w:tr w:rsidR="00816AF2" w:rsidTr="00816AF2">
        <w:tc>
          <w:tcPr>
            <w:tcW w:w="2310" w:type="dxa"/>
            <w:gridSpan w:val="2"/>
            <w:vAlign w:val="center"/>
          </w:tcPr>
          <w:p w:rsidR="00816AF2" w:rsidRDefault="00A05F67">
            <w:pPr>
              <w:jc w:val="center"/>
            </w:pPr>
            <w:r>
              <w:rPr>
                <w:rFonts w:ascii="Calibri" w:hAnsi="Calibri" w:cs="Calibri"/>
                <w:b/>
                <w:sz w:val="20"/>
                <w:szCs w:val="20"/>
              </w:rPr>
              <w:t>TOTALE</w:t>
            </w:r>
          </w:p>
        </w:tc>
        <w:tc>
          <w:tcPr>
            <w:tcW w:w="2310" w:type="dxa"/>
            <w:vAlign w:val="center"/>
          </w:tcPr>
          <w:p w:rsidR="00816AF2" w:rsidRDefault="00A05F67">
            <w:pPr>
              <w:jc w:val="right"/>
            </w:pPr>
            <w:r>
              <w:rPr>
                <w:b/>
                <w:sz w:val="18"/>
                <w:szCs w:val="18"/>
              </w:rPr>
              <w:t>34.610,00</w:t>
            </w:r>
          </w:p>
        </w:tc>
        <w:tc>
          <w:tcPr>
            <w:tcW w:w="2310" w:type="dxa"/>
            <w:vAlign w:val="center"/>
          </w:tcPr>
          <w:p w:rsidR="00816AF2" w:rsidRDefault="00A05F67">
            <w:pPr>
              <w:jc w:val="right"/>
            </w:pPr>
            <w:r>
              <w:rPr>
                <w:b/>
                <w:sz w:val="18"/>
                <w:szCs w:val="18"/>
              </w:rPr>
              <w:t>19.480,76</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r>
    </w:tbl>
    <w:p w:rsidR="00816AF2" w:rsidRDefault="00816AF2"/>
    <w:p w:rsidR="005B7CC1" w:rsidRPr="00CF29D2" w:rsidRDefault="005B7CC1" w:rsidP="005B7CC1">
      <w:r w:rsidRPr="002272D1">
        <w:rPr>
          <w:b/>
        </w:rPr>
        <w:t>Descrizione dell’obiettivo:</w:t>
      </w:r>
      <w:r>
        <w:rPr>
          <w:b/>
        </w:rPr>
        <w:t xml:space="preserve"> </w:t>
      </w:r>
      <w:r>
        <w:t>Il Consorzio non prevede nel triennio l’accensione di nuovi mutui. Si porteranno a termine i piani di ammortamento dei mutui già esistenti.</w:t>
      </w:r>
    </w:p>
    <w:p w:rsidR="005B7CC1" w:rsidRDefault="005B7CC1"/>
    <w:tbl>
      <w:tblPr>
        <w:tblStyle w:val="Grigliachiara-Colore5"/>
        <w:tblW w:w="5000" w:type="pct"/>
        <w:tblLook w:val="0680" w:firstRow="0" w:lastRow="0" w:firstColumn="1" w:lastColumn="0" w:noHBand="1" w:noVBand="1"/>
      </w:tblPr>
      <w:tblGrid>
        <w:gridCol w:w="14502"/>
      </w:tblGrid>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t>Missione: 60 - Anticipazioni finanziarie</w:t>
            </w:r>
          </w:p>
        </w:tc>
      </w:tr>
    </w:tbl>
    <w:p w:rsidR="00816AF2" w:rsidRDefault="00816AF2"/>
    <w:tbl>
      <w:tblPr>
        <w:tblStyle w:val="Grigliachiara-Colore5"/>
        <w:tblW w:w="5000" w:type="auto"/>
        <w:tblLook w:val="0620" w:firstRow="1" w:lastRow="0" w:firstColumn="0" w:lastColumn="0" w:noHBand="1" w:noVBand="1"/>
      </w:tblPr>
      <w:tblGrid>
        <w:gridCol w:w="889"/>
        <w:gridCol w:w="3999"/>
        <w:gridCol w:w="1463"/>
        <w:gridCol w:w="1463"/>
        <w:gridCol w:w="1463"/>
        <w:gridCol w:w="1045"/>
        <w:gridCol w:w="1045"/>
        <w:gridCol w:w="1045"/>
        <w:gridCol w:w="1045"/>
        <w:gridCol w:w="1045"/>
      </w:tblGrid>
      <w:tr w:rsidR="00816AF2" w:rsidTr="00816AF2">
        <w:trPr>
          <w:cnfStyle w:val="100000000000" w:firstRow="1" w:lastRow="0" w:firstColumn="0" w:lastColumn="0" w:oddVBand="0" w:evenVBand="0" w:oddHBand="0" w:evenHBand="0" w:firstRowFirstColumn="0" w:firstRowLastColumn="0" w:lastRowFirstColumn="0" w:lastRowLastColumn="0"/>
        </w:trPr>
        <w:tc>
          <w:tcPr>
            <w:tcW w:w="2310" w:type="dxa"/>
            <w:vMerge w:val="restart"/>
            <w:vAlign w:val="center"/>
          </w:tcPr>
          <w:p w:rsidR="00816AF2" w:rsidRDefault="00A05F67">
            <w:pPr>
              <w:jc w:val="center"/>
            </w:pPr>
            <w:r>
              <w:rPr>
                <w:rFonts w:ascii="Calibri" w:hAnsi="Calibri" w:cs="Calibri"/>
                <w:i/>
                <w:sz w:val="20"/>
                <w:szCs w:val="20"/>
              </w:rPr>
              <w:t>N°</w:t>
            </w:r>
          </w:p>
        </w:tc>
        <w:tc>
          <w:tcPr>
            <w:tcW w:w="10200" w:type="dxa"/>
            <w:vMerge w:val="restart"/>
            <w:vAlign w:val="center"/>
          </w:tcPr>
          <w:p w:rsidR="00816AF2" w:rsidRDefault="00A05F67">
            <w:pPr>
              <w:jc w:val="center"/>
            </w:pPr>
            <w:r>
              <w:rPr>
                <w:rFonts w:ascii="Calibri" w:hAnsi="Calibri" w:cs="Calibri"/>
                <w:i/>
                <w:sz w:val="20"/>
                <w:szCs w:val="20"/>
              </w:rPr>
              <w:t>Tema Strategico</w:t>
            </w:r>
          </w:p>
        </w:tc>
        <w:tc>
          <w:tcPr>
            <w:tcW w:w="2310" w:type="dxa"/>
            <w:gridSpan w:val="8"/>
            <w:vAlign w:val="center"/>
          </w:tcPr>
          <w:p w:rsidR="00816AF2" w:rsidRDefault="00A05F67">
            <w:pPr>
              <w:jc w:val="center"/>
            </w:pPr>
            <w:r>
              <w:rPr>
                <w:rFonts w:ascii="Calibri" w:hAnsi="Calibri" w:cs="Calibri"/>
                <w:i/>
                <w:sz w:val="20"/>
                <w:szCs w:val="20"/>
              </w:rPr>
              <w:t>Spese previste</w:t>
            </w:r>
          </w:p>
        </w:tc>
      </w:tr>
      <w:tr w:rsidR="00816AF2" w:rsidTr="00816AF2">
        <w:tc>
          <w:tcPr>
            <w:tcW w:w="2310" w:type="dxa"/>
            <w:vMerge/>
            <w:vAlign w:val="center"/>
          </w:tcPr>
          <w:p w:rsidR="00816AF2" w:rsidRDefault="00816AF2"/>
        </w:tc>
        <w:tc>
          <w:tcPr>
            <w:tcW w:w="2310" w:type="dxa"/>
            <w:vMerge/>
            <w:vAlign w:val="center"/>
          </w:tcPr>
          <w:p w:rsidR="00816AF2" w:rsidRDefault="00816AF2"/>
        </w:tc>
        <w:tc>
          <w:tcPr>
            <w:tcW w:w="2310" w:type="dxa"/>
            <w:vAlign w:val="center"/>
          </w:tcPr>
          <w:p w:rsidR="00816AF2" w:rsidRDefault="00A05F67">
            <w:pPr>
              <w:jc w:val="center"/>
            </w:pPr>
            <w:r>
              <w:rPr>
                <w:i/>
                <w:sz w:val="20"/>
                <w:szCs w:val="20"/>
              </w:rPr>
              <w:t>2018</w:t>
            </w:r>
          </w:p>
        </w:tc>
        <w:tc>
          <w:tcPr>
            <w:tcW w:w="2310" w:type="dxa"/>
            <w:vAlign w:val="center"/>
          </w:tcPr>
          <w:p w:rsidR="00816AF2" w:rsidRDefault="00A05F67">
            <w:pPr>
              <w:jc w:val="center"/>
            </w:pPr>
            <w:r>
              <w:rPr>
                <w:i/>
                <w:sz w:val="20"/>
                <w:szCs w:val="20"/>
              </w:rPr>
              <w:t>2019</w:t>
            </w:r>
          </w:p>
        </w:tc>
        <w:tc>
          <w:tcPr>
            <w:tcW w:w="2310" w:type="dxa"/>
            <w:vAlign w:val="center"/>
          </w:tcPr>
          <w:p w:rsidR="00816AF2" w:rsidRDefault="00A05F67">
            <w:pPr>
              <w:jc w:val="center"/>
            </w:pPr>
            <w:r>
              <w:rPr>
                <w:i/>
                <w:sz w:val="20"/>
                <w:szCs w:val="20"/>
              </w:rPr>
              <w:t>2020</w:t>
            </w:r>
          </w:p>
        </w:tc>
        <w:tc>
          <w:tcPr>
            <w:tcW w:w="2310" w:type="dxa"/>
            <w:vAlign w:val="center"/>
          </w:tcPr>
          <w:p w:rsidR="00816AF2" w:rsidRDefault="00A05F67">
            <w:pPr>
              <w:jc w:val="center"/>
            </w:pPr>
            <w:r>
              <w:rPr>
                <w:i/>
                <w:sz w:val="20"/>
                <w:szCs w:val="20"/>
              </w:rPr>
              <w:t>2021</w:t>
            </w:r>
          </w:p>
        </w:tc>
        <w:tc>
          <w:tcPr>
            <w:tcW w:w="2310" w:type="dxa"/>
            <w:vAlign w:val="center"/>
          </w:tcPr>
          <w:p w:rsidR="00816AF2" w:rsidRDefault="00A05F67">
            <w:pPr>
              <w:jc w:val="center"/>
            </w:pPr>
            <w:r>
              <w:rPr>
                <w:i/>
                <w:sz w:val="20"/>
                <w:szCs w:val="20"/>
              </w:rPr>
              <w:t>2022</w:t>
            </w:r>
          </w:p>
        </w:tc>
        <w:tc>
          <w:tcPr>
            <w:tcW w:w="2310" w:type="dxa"/>
            <w:vAlign w:val="center"/>
          </w:tcPr>
          <w:p w:rsidR="00816AF2" w:rsidRDefault="00A05F67">
            <w:pPr>
              <w:jc w:val="center"/>
            </w:pPr>
            <w:r>
              <w:rPr>
                <w:i/>
                <w:sz w:val="20"/>
                <w:szCs w:val="20"/>
              </w:rPr>
              <w:t>FPV 2018</w:t>
            </w:r>
          </w:p>
        </w:tc>
        <w:tc>
          <w:tcPr>
            <w:tcW w:w="2310" w:type="dxa"/>
            <w:vAlign w:val="center"/>
          </w:tcPr>
          <w:p w:rsidR="00816AF2" w:rsidRDefault="00A05F67">
            <w:pPr>
              <w:jc w:val="center"/>
            </w:pPr>
            <w:r>
              <w:rPr>
                <w:i/>
                <w:sz w:val="20"/>
                <w:szCs w:val="20"/>
              </w:rPr>
              <w:t>FPV 2019</w:t>
            </w:r>
          </w:p>
        </w:tc>
        <w:tc>
          <w:tcPr>
            <w:tcW w:w="2310" w:type="dxa"/>
            <w:vAlign w:val="center"/>
          </w:tcPr>
          <w:p w:rsidR="00816AF2" w:rsidRDefault="00A05F67">
            <w:pPr>
              <w:jc w:val="center"/>
            </w:pPr>
            <w:r>
              <w:rPr>
                <w:i/>
                <w:sz w:val="20"/>
                <w:szCs w:val="20"/>
              </w:rPr>
              <w:t>FPV 2020</w:t>
            </w:r>
          </w:p>
        </w:tc>
      </w:tr>
      <w:tr w:rsidR="00816AF2" w:rsidTr="00816AF2">
        <w:tc>
          <w:tcPr>
            <w:tcW w:w="2310" w:type="dxa"/>
            <w:vAlign w:val="center"/>
          </w:tcPr>
          <w:p w:rsidR="00816AF2" w:rsidRDefault="00A05F67">
            <w:pPr>
              <w:jc w:val="center"/>
            </w:pPr>
            <w:r>
              <w:rPr>
                <w:rFonts w:ascii="Calibri" w:hAnsi="Calibri" w:cs="Calibri"/>
                <w:sz w:val="20"/>
                <w:szCs w:val="20"/>
              </w:rPr>
              <w:t>1</w:t>
            </w:r>
          </w:p>
        </w:tc>
        <w:tc>
          <w:tcPr>
            <w:tcW w:w="2310" w:type="dxa"/>
            <w:vAlign w:val="center"/>
          </w:tcPr>
          <w:p w:rsidR="00816AF2" w:rsidRDefault="005B7CC1">
            <w:r>
              <w:rPr>
                <w:sz w:val="20"/>
                <w:szCs w:val="20"/>
              </w:rPr>
              <w:t>LIMITARE L’UTILIZZO DELL’ANTICIPAZIONE DI CASSA</w:t>
            </w:r>
          </w:p>
        </w:tc>
        <w:tc>
          <w:tcPr>
            <w:tcW w:w="2310" w:type="dxa"/>
            <w:vAlign w:val="center"/>
          </w:tcPr>
          <w:p w:rsidR="00816AF2" w:rsidRDefault="00A05F67">
            <w:pPr>
              <w:jc w:val="right"/>
            </w:pPr>
            <w:r>
              <w:rPr>
                <w:sz w:val="18"/>
                <w:szCs w:val="18"/>
              </w:rPr>
              <w:t>1.022.644,83</w:t>
            </w:r>
          </w:p>
        </w:tc>
        <w:tc>
          <w:tcPr>
            <w:tcW w:w="2310" w:type="dxa"/>
            <w:vAlign w:val="center"/>
          </w:tcPr>
          <w:p w:rsidR="00816AF2" w:rsidRDefault="00A05F67">
            <w:pPr>
              <w:jc w:val="right"/>
            </w:pPr>
            <w:r>
              <w:rPr>
                <w:sz w:val="18"/>
                <w:szCs w:val="18"/>
              </w:rPr>
              <w:t>1.022.000,00</w:t>
            </w:r>
          </w:p>
        </w:tc>
        <w:tc>
          <w:tcPr>
            <w:tcW w:w="2310" w:type="dxa"/>
            <w:vAlign w:val="center"/>
          </w:tcPr>
          <w:p w:rsidR="00816AF2" w:rsidRDefault="00A05F67">
            <w:pPr>
              <w:jc w:val="right"/>
            </w:pPr>
            <w:r>
              <w:rPr>
                <w:sz w:val="18"/>
                <w:szCs w:val="18"/>
              </w:rPr>
              <w:t>1.022.000,00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r>
      <w:tr w:rsidR="00816AF2" w:rsidTr="00816AF2">
        <w:tc>
          <w:tcPr>
            <w:tcW w:w="2310" w:type="dxa"/>
            <w:gridSpan w:val="2"/>
            <w:vAlign w:val="center"/>
          </w:tcPr>
          <w:p w:rsidR="00816AF2" w:rsidRDefault="00A05F67">
            <w:pPr>
              <w:jc w:val="center"/>
            </w:pPr>
            <w:r>
              <w:rPr>
                <w:rFonts w:ascii="Calibri" w:hAnsi="Calibri" w:cs="Calibri"/>
                <w:b/>
                <w:sz w:val="20"/>
                <w:szCs w:val="20"/>
              </w:rPr>
              <w:t>TOTALE</w:t>
            </w:r>
          </w:p>
        </w:tc>
        <w:tc>
          <w:tcPr>
            <w:tcW w:w="2310" w:type="dxa"/>
            <w:vAlign w:val="center"/>
          </w:tcPr>
          <w:p w:rsidR="00816AF2" w:rsidRDefault="00A05F67">
            <w:pPr>
              <w:jc w:val="right"/>
            </w:pPr>
            <w:r>
              <w:rPr>
                <w:b/>
                <w:sz w:val="18"/>
                <w:szCs w:val="18"/>
              </w:rPr>
              <w:t>1.022.644,83</w:t>
            </w:r>
          </w:p>
        </w:tc>
        <w:tc>
          <w:tcPr>
            <w:tcW w:w="2310" w:type="dxa"/>
            <w:vAlign w:val="center"/>
          </w:tcPr>
          <w:p w:rsidR="00816AF2" w:rsidRDefault="00A05F67">
            <w:pPr>
              <w:jc w:val="right"/>
            </w:pPr>
            <w:r>
              <w:rPr>
                <w:b/>
                <w:sz w:val="18"/>
                <w:szCs w:val="18"/>
              </w:rPr>
              <w:t>1.022.000,00</w:t>
            </w:r>
          </w:p>
        </w:tc>
        <w:tc>
          <w:tcPr>
            <w:tcW w:w="2310" w:type="dxa"/>
            <w:vAlign w:val="center"/>
          </w:tcPr>
          <w:p w:rsidR="00816AF2" w:rsidRDefault="00A05F67">
            <w:pPr>
              <w:jc w:val="right"/>
            </w:pPr>
            <w:r>
              <w:rPr>
                <w:b/>
                <w:sz w:val="18"/>
                <w:szCs w:val="18"/>
              </w:rPr>
              <w:t>1.022.000,00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r>
    </w:tbl>
    <w:p w:rsidR="00816AF2" w:rsidRDefault="00816AF2"/>
    <w:p w:rsidR="005B7CC1" w:rsidRPr="00807463" w:rsidRDefault="005B7CC1" w:rsidP="005B7CC1">
      <w:r w:rsidRPr="002272D1">
        <w:rPr>
          <w:b/>
        </w:rPr>
        <w:t>Descrizione dell’obiettivo:</w:t>
      </w:r>
      <w:r>
        <w:rPr>
          <w:b/>
        </w:rPr>
        <w:t xml:space="preserve"> </w:t>
      </w:r>
      <w:r>
        <w:t>Il ricorso all’anticipazione di cassa avviene sempre nel rispetto del limite di legge pari a 3/12 dei primi tre titoli di entrata accertate nel penultimo anno precedente all’esercizio finanziario in corso. Obiettivo è la limitazione dell’utilizzo.</w:t>
      </w:r>
    </w:p>
    <w:p w:rsidR="005B7CC1" w:rsidRDefault="005B7CC1"/>
    <w:p w:rsidR="005B7CC1" w:rsidRDefault="005B7CC1"/>
    <w:tbl>
      <w:tblPr>
        <w:tblStyle w:val="Grigliachiara-Colore5"/>
        <w:tblW w:w="5000" w:type="pct"/>
        <w:tblLook w:val="0680" w:firstRow="0" w:lastRow="0" w:firstColumn="1" w:lastColumn="0" w:noHBand="1" w:noVBand="1"/>
      </w:tblPr>
      <w:tblGrid>
        <w:gridCol w:w="14502"/>
      </w:tblGrid>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t>Missione: 99 - Servizi per conto terzi</w:t>
            </w:r>
          </w:p>
        </w:tc>
      </w:tr>
    </w:tbl>
    <w:p w:rsidR="00816AF2" w:rsidRDefault="00816AF2"/>
    <w:tbl>
      <w:tblPr>
        <w:tblStyle w:val="Grigliachiara-Colore5"/>
        <w:tblW w:w="5000" w:type="auto"/>
        <w:tblLook w:val="0620" w:firstRow="1" w:lastRow="0" w:firstColumn="0" w:lastColumn="0" w:noHBand="1" w:noVBand="1"/>
      </w:tblPr>
      <w:tblGrid>
        <w:gridCol w:w="945"/>
        <w:gridCol w:w="3612"/>
        <w:gridCol w:w="1495"/>
        <w:gridCol w:w="1495"/>
        <w:gridCol w:w="1495"/>
        <w:gridCol w:w="1092"/>
        <w:gridCol w:w="1092"/>
        <w:gridCol w:w="1092"/>
        <w:gridCol w:w="1092"/>
        <w:gridCol w:w="1092"/>
      </w:tblGrid>
      <w:tr w:rsidR="00816AF2" w:rsidTr="00816AF2">
        <w:trPr>
          <w:cnfStyle w:val="100000000000" w:firstRow="1" w:lastRow="0" w:firstColumn="0" w:lastColumn="0" w:oddVBand="0" w:evenVBand="0" w:oddHBand="0" w:evenHBand="0" w:firstRowFirstColumn="0" w:firstRowLastColumn="0" w:lastRowFirstColumn="0" w:lastRowLastColumn="0"/>
        </w:trPr>
        <w:tc>
          <w:tcPr>
            <w:tcW w:w="2310" w:type="dxa"/>
            <w:vMerge w:val="restart"/>
            <w:vAlign w:val="center"/>
          </w:tcPr>
          <w:p w:rsidR="00816AF2" w:rsidRDefault="00A05F67">
            <w:pPr>
              <w:jc w:val="center"/>
            </w:pPr>
            <w:r>
              <w:rPr>
                <w:rFonts w:ascii="Calibri" w:hAnsi="Calibri" w:cs="Calibri"/>
                <w:i/>
                <w:sz w:val="20"/>
                <w:szCs w:val="20"/>
              </w:rPr>
              <w:t>N°</w:t>
            </w:r>
          </w:p>
        </w:tc>
        <w:tc>
          <w:tcPr>
            <w:tcW w:w="10200" w:type="dxa"/>
            <w:vMerge w:val="restart"/>
            <w:vAlign w:val="center"/>
          </w:tcPr>
          <w:p w:rsidR="00816AF2" w:rsidRDefault="00A05F67">
            <w:pPr>
              <w:jc w:val="center"/>
            </w:pPr>
            <w:r>
              <w:rPr>
                <w:rFonts w:ascii="Calibri" w:hAnsi="Calibri" w:cs="Calibri"/>
                <w:i/>
                <w:sz w:val="20"/>
                <w:szCs w:val="20"/>
              </w:rPr>
              <w:t>Tema Strategico</w:t>
            </w:r>
          </w:p>
        </w:tc>
        <w:tc>
          <w:tcPr>
            <w:tcW w:w="2310" w:type="dxa"/>
            <w:gridSpan w:val="8"/>
            <w:vAlign w:val="center"/>
          </w:tcPr>
          <w:p w:rsidR="00816AF2" w:rsidRDefault="00A05F67">
            <w:pPr>
              <w:jc w:val="center"/>
            </w:pPr>
            <w:r>
              <w:rPr>
                <w:rFonts w:ascii="Calibri" w:hAnsi="Calibri" w:cs="Calibri"/>
                <w:i/>
                <w:sz w:val="20"/>
                <w:szCs w:val="20"/>
              </w:rPr>
              <w:t>Spese previste</w:t>
            </w:r>
          </w:p>
        </w:tc>
      </w:tr>
      <w:tr w:rsidR="00816AF2" w:rsidTr="00816AF2">
        <w:tc>
          <w:tcPr>
            <w:tcW w:w="2310" w:type="dxa"/>
            <w:vMerge/>
            <w:vAlign w:val="center"/>
          </w:tcPr>
          <w:p w:rsidR="00816AF2" w:rsidRDefault="00816AF2"/>
        </w:tc>
        <w:tc>
          <w:tcPr>
            <w:tcW w:w="2310" w:type="dxa"/>
            <w:vMerge/>
            <w:vAlign w:val="center"/>
          </w:tcPr>
          <w:p w:rsidR="00816AF2" w:rsidRDefault="00816AF2"/>
        </w:tc>
        <w:tc>
          <w:tcPr>
            <w:tcW w:w="2310" w:type="dxa"/>
            <w:vAlign w:val="center"/>
          </w:tcPr>
          <w:p w:rsidR="00816AF2" w:rsidRDefault="00A05F67">
            <w:pPr>
              <w:jc w:val="center"/>
            </w:pPr>
            <w:r>
              <w:rPr>
                <w:i/>
                <w:sz w:val="20"/>
                <w:szCs w:val="20"/>
              </w:rPr>
              <w:t>2018</w:t>
            </w:r>
          </w:p>
        </w:tc>
        <w:tc>
          <w:tcPr>
            <w:tcW w:w="2310" w:type="dxa"/>
            <w:vAlign w:val="center"/>
          </w:tcPr>
          <w:p w:rsidR="00816AF2" w:rsidRDefault="00A05F67">
            <w:pPr>
              <w:jc w:val="center"/>
            </w:pPr>
            <w:r>
              <w:rPr>
                <w:i/>
                <w:sz w:val="20"/>
                <w:szCs w:val="20"/>
              </w:rPr>
              <w:t>2019</w:t>
            </w:r>
          </w:p>
        </w:tc>
        <w:tc>
          <w:tcPr>
            <w:tcW w:w="2310" w:type="dxa"/>
            <w:vAlign w:val="center"/>
          </w:tcPr>
          <w:p w:rsidR="00816AF2" w:rsidRDefault="00A05F67">
            <w:pPr>
              <w:jc w:val="center"/>
            </w:pPr>
            <w:r>
              <w:rPr>
                <w:i/>
                <w:sz w:val="20"/>
                <w:szCs w:val="20"/>
              </w:rPr>
              <w:t>2020</w:t>
            </w:r>
          </w:p>
        </w:tc>
        <w:tc>
          <w:tcPr>
            <w:tcW w:w="2310" w:type="dxa"/>
            <w:vAlign w:val="center"/>
          </w:tcPr>
          <w:p w:rsidR="00816AF2" w:rsidRDefault="00A05F67">
            <w:pPr>
              <w:jc w:val="center"/>
            </w:pPr>
            <w:r>
              <w:rPr>
                <w:i/>
                <w:sz w:val="20"/>
                <w:szCs w:val="20"/>
              </w:rPr>
              <w:t>2021</w:t>
            </w:r>
          </w:p>
        </w:tc>
        <w:tc>
          <w:tcPr>
            <w:tcW w:w="2310" w:type="dxa"/>
            <w:vAlign w:val="center"/>
          </w:tcPr>
          <w:p w:rsidR="00816AF2" w:rsidRDefault="00A05F67">
            <w:pPr>
              <w:jc w:val="center"/>
            </w:pPr>
            <w:r>
              <w:rPr>
                <w:i/>
                <w:sz w:val="20"/>
                <w:szCs w:val="20"/>
              </w:rPr>
              <w:t>2022</w:t>
            </w:r>
          </w:p>
        </w:tc>
        <w:tc>
          <w:tcPr>
            <w:tcW w:w="2310" w:type="dxa"/>
            <w:vAlign w:val="center"/>
          </w:tcPr>
          <w:p w:rsidR="00816AF2" w:rsidRDefault="00A05F67">
            <w:pPr>
              <w:jc w:val="center"/>
            </w:pPr>
            <w:r>
              <w:rPr>
                <w:i/>
                <w:sz w:val="20"/>
                <w:szCs w:val="20"/>
              </w:rPr>
              <w:t>FPV 2018</w:t>
            </w:r>
          </w:p>
        </w:tc>
        <w:tc>
          <w:tcPr>
            <w:tcW w:w="2310" w:type="dxa"/>
            <w:vAlign w:val="center"/>
          </w:tcPr>
          <w:p w:rsidR="00816AF2" w:rsidRDefault="00A05F67">
            <w:pPr>
              <w:jc w:val="center"/>
            </w:pPr>
            <w:r>
              <w:rPr>
                <w:i/>
                <w:sz w:val="20"/>
                <w:szCs w:val="20"/>
              </w:rPr>
              <w:t>FPV 2019</w:t>
            </w:r>
          </w:p>
        </w:tc>
        <w:tc>
          <w:tcPr>
            <w:tcW w:w="2310" w:type="dxa"/>
            <w:vAlign w:val="center"/>
          </w:tcPr>
          <w:p w:rsidR="00816AF2" w:rsidRDefault="00A05F67">
            <w:pPr>
              <w:jc w:val="center"/>
            </w:pPr>
            <w:r>
              <w:rPr>
                <w:i/>
                <w:sz w:val="20"/>
                <w:szCs w:val="20"/>
              </w:rPr>
              <w:t>FPV 2020</w:t>
            </w:r>
          </w:p>
        </w:tc>
      </w:tr>
      <w:tr w:rsidR="00816AF2" w:rsidTr="00816AF2">
        <w:tc>
          <w:tcPr>
            <w:tcW w:w="2310" w:type="dxa"/>
            <w:vAlign w:val="center"/>
          </w:tcPr>
          <w:p w:rsidR="00816AF2" w:rsidRDefault="00A05F67">
            <w:pPr>
              <w:jc w:val="center"/>
            </w:pPr>
            <w:r>
              <w:rPr>
                <w:rFonts w:ascii="Calibri" w:hAnsi="Calibri" w:cs="Calibri"/>
                <w:sz w:val="20"/>
                <w:szCs w:val="20"/>
              </w:rPr>
              <w:t>1</w:t>
            </w:r>
          </w:p>
        </w:tc>
        <w:tc>
          <w:tcPr>
            <w:tcW w:w="2310" w:type="dxa"/>
            <w:vAlign w:val="center"/>
          </w:tcPr>
          <w:p w:rsidR="00816AF2" w:rsidRDefault="00816AF2"/>
        </w:tc>
        <w:tc>
          <w:tcPr>
            <w:tcW w:w="2310" w:type="dxa"/>
            <w:vAlign w:val="center"/>
          </w:tcPr>
          <w:p w:rsidR="00816AF2" w:rsidRDefault="00A05F67">
            <w:pPr>
              <w:jc w:val="right"/>
            </w:pPr>
            <w:r>
              <w:rPr>
                <w:sz w:val="18"/>
                <w:szCs w:val="18"/>
              </w:rPr>
              <w:t>1.143.000,00</w:t>
            </w:r>
          </w:p>
        </w:tc>
        <w:tc>
          <w:tcPr>
            <w:tcW w:w="2310" w:type="dxa"/>
            <w:vAlign w:val="center"/>
          </w:tcPr>
          <w:p w:rsidR="00816AF2" w:rsidRDefault="00A05F67">
            <w:pPr>
              <w:jc w:val="right"/>
            </w:pPr>
            <w:r>
              <w:rPr>
                <w:sz w:val="18"/>
                <w:szCs w:val="18"/>
              </w:rPr>
              <w:t>1.143.000,00</w:t>
            </w:r>
          </w:p>
        </w:tc>
        <w:tc>
          <w:tcPr>
            <w:tcW w:w="2310" w:type="dxa"/>
            <w:vAlign w:val="center"/>
          </w:tcPr>
          <w:p w:rsidR="00816AF2" w:rsidRDefault="00A05F67">
            <w:pPr>
              <w:jc w:val="right"/>
            </w:pPr>
            <w:r>
              <w:rPr>
                <w:sz w:val="18"/>
                <w:szCs w:val="18"/>
              </w:rPr>
              <w:t>1.143.000,00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c>
          <w:tcPr>
            <w:tcW w:w="2310" w:type="dxa"/>
            <w:vAlign w:val="center"/>
          </w:tcPr>
          <w:p w:rsidR="00816AF2" w:rsidRDefault="00A05F67">
            <w:pPr>
              <w:jc w:val="right"/>
            </w:pPr>
            <w:r>
              <w:rPr>
                <w:sz w:val="18"/>
                <w:szCs w:val="18"/>
              </w:rPr>
              <w:t>0,00</w:t>
            </w:r>
          </w:p>
        </w:tc>
      </w:tr>
      <w:tr w:rsidR="00816AF2" w:rsidTr="00816AF2">
        <w:tc>
          <w:tcPr>
            <w:tcW w:w="2310" w:type="dxa"/>
            <w:gridSpan w:val="2"/>
            <w:vAlign w:val="center"/>
          </w:tcPr>
          <w:p w:rsidR="00816AF2" w:rsidRDefault="00A05F67">
            <w:pPr>
              <w:jc w:val="center"/>
            </w:pPr>
            <w:r>
              <w:rPr>
                <w:rFonts w:ascii="Calibri" w:hAnsi="Calibri" w:cs="Calibri"/>
                <w:b/>
                <w:sz w:val="20"/>
                <w:szCs w:val="20"/>
              </w:rPr>
              <w:t>TOTALE</w:t>
            </w:r>
          </w:p>
        </w:tc>
        <w:tc>
          <w:tcPr>
            <w:tcW w:w="2310" w:type="dxa"/>
            <w:vAlign w:val="center"/>
          </w:tcPr>
          <w:p w:rsidR="00816AF2" w:rsidRDefault="00A05F67">
            <w:pPr>
              <w:jc w:val="right"/>
            </w:pPr>
            <w:r>
              <w:rPr>
                <w:b/>
                <w:sz w:val="18"/>
                <w:szCs w:val="18"/>
              </w:rPr>
              <w:t>1.143.000,00</w:t>
            </w:r>
          </w:p>
        </w:tc>
        <w:tc>
          <w:tcPr>
            <w:tcW w:w="2310" w:type="dxa"/>
            <w:vAlign w:val="center"/>
          </w:tcPr>
          <w:p w:rsidR="00816AF2" w:rsidRDefault="00A05F67">
            <w:pPr>
              <w:jc w:val="right"/>
            </w:pPr>
            <w:r>
              <w:rPr>
                <w:b/>
                <w:sz w:val="18"/>
                <w:szCs w:val="18"/>
              </w:rPr>
              <w:t>1.143.000,00</w:t>
            </w:r>
          </w:p>
        </w:tc>
        <w:tc>
          <w:tcPr>
            <w:tcW w:w="2310" w:type="dxa"/>
            <w:vAlign w:val="center"/>
          </w:tcPr>
          <w:p w:rsidR="00816AF2" w:rsidRDefault="00A05F67">
            <w:pPr>
              <w:jc w:val="right"/>
            </w:pPr>
            <w:r>
              <w:rPr>
                <w:b/>
                <w:sz w:val="18"/>
                <w:szCs w:val="18"/>
              </w:rPr>
              <w:t>1.143.000,00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c>
          <w:tcPr>
            <w:tcW w:w="2310" w:type="dxa"/>
            <w:vAlign w:val="center"/>
          </w:tcPr>
          <w:p w:rsidR="00816AF2" w:rsidRDefault="00A05F67">
            <w:pPr>
              <w:jc w:val="right"/>
            </w:pPr>
            <w:r>
              <w:rPr>
                <w:b/>
                <w:sz w:val="18"/>
                <w:szCs w:val="18"/>
              </w:rPr>
              <w:t>0,00</w:t>
            </w:r>
          </w:p>
        </w:tc>
      </w:tr>
    </w:tbl>
    <w:p w:rsidR="00816AF2" w:rsidRDefault="00816AF2"/>
    <w:p w:rsidR="00C16330" w:rsidRPr="00694F43" w:rsidRDefault="00C16330" w:rsidP="00694F43">
      <w:pPr>
        <w:sectPr w:rsidR="00C16330" w:rsidRPr="00694F43" w:rsidSect="00781072">
          <w:footerReference w:type="default" r:id="rId36"/>
          <w:pgSz w:w="16838" w:h="11906" w:orient="landscape"/>
          <w:pgMar w:top="1134" w:right="1418" w:bottom="1134" w:left="1134" w:header="709" w:footer="709" w:gutter="0"/>
          <w:cols w:space="708"/>
          <w:docGrid w:linePitch="360"/>
        </w:sectPr>
      </w:pPr>
    </w:p>
    <w:p w:rsidR="00F608C9" w:rsidRDefault="00FD7BFD" w:rsidP="0039794A">
      <w:pPr>
        <w:pStyle w:val="Titolo2"/>
        <w:numPr>
          <w:ilvl w:val="1"/>
          <w:numId w:val="6"/>
        </w:numPr>
      </w:pPr>
      <w:bookmarkStart w:id="16" w:name="_Toc496177144"/>
      <w:r w:rsidRPr="00FD7BFD">
        <w:lastRenderedPageBreak/>
        <w:t>Strumenti di rendicontazione dei risultati</w:t>
      </w:r>
      <w:bookmarkEnd w:id="16"/>
    </w:p>
    <w:p w:rsidR="00DA6A6B" w:rsidRDefault="00DA6A6B" w:rsidP="00DA6A6B"/>
    <w:p w:rsidR="0039794A" w:rsidRPr="0070049F" w:rsidRDefault="0039794A" w:rsidP="0039794A">
      <w:r w:rsidRPr="0070049F">
        <w:t>Gli strumenti di programmazione degli enti locali (e la loro tempistica di programmazione a regime) sono:</w:t>
      </w:r>
    </w:p>
    <w:p w:rsidR="0039794A" w:rsidRPr="0070049F" w:rsidRDefault="0039794A" w:rsidP="0039794A">
      <w:pPr>
        <w:numPr>
          <w:ilvl w:val="0"/>
          <w:numId w:val="2"/>
        </w:numPr>
        <w:spacing w:line="360" w:lineRule="auto"/>
        <w:ind w:left="1066" w:hanging="357"/>
        <w:contextualSpacing/>
      </w:pPr>
      <w:r w:rsidRPr="0070049F">
        <w:t>il Documento unico di programmazione (DUP), presentato al Consiglio Comunale e nel caso del Consorzio all’Assemblea Consortile , entro il 31 luglio di ciascun anno, per le conseguenti deliberazione, in sostituzione della relazione previsionale e programmatica;</w:t>
      </w:r>
    </w:p>
    <w:p w:rsidR="0039794A" w:rsidRPr="0070049F" w:rsidRDefault="0039794A" w:rsidP="0039794A">
      <w:pPr>
        <w:ind w:left="1068"/>
        <w:contextualSpacing/>
      </w:pPr>
    </w:p>
    <w:p w:rsidR="0039794A" w:rsidRPr="0070049F" w:rsidRDefault="0039794A" w:rsidP="0039794A">
      <w:pPr>
        <w:numPr>
          <w:ilvl w:val="0"/>
          <w:numId w:val="2"/>
        </w:numPr>
        <w:spacing w:line="360" w:lineRule="auto"/>
        <w:ind w:left="1066" w:hanging="357"/>
        <w:contextualSpacing/>
      </w:pPr>
      <w:r w:rsidRPr="0070049F">
        <w:t>l'eventuale nota di aggiornamento del Documento unico di programmazione (DUP), da presentare al Consiglio Comunale e per i Consorzi all’Assemblea Consortile entro il 15 novembre di ogni anno, per le conseguenti deliberazioni;</w:t>
      </w:r>
    </w:p>
    <w:p w:rsidR="0039794A" w:rsidRPr="0070049F" w:rsidRDefault="0039794A" w:rsidP="0039794A">
      <w:pPr>
        <w:ind w:left="1068"/>
        <w:contextualSpacing/>
      </w:pPr>
    </w:p>
    <w:p w:rsidR="0039794A" w:rsidRPr="0070049F" w:rsidRDefault="0039794A" w:rsidP="0039794A">
      <w:pPr>
        <w:numPr>
          <w:ilvl w:val="0"/>
          <w:numId w:val="2"/>
        </w:numPr>
        <w:spacing w:line="360" w:lineRule="auto"/>
        <w:ind w:left="1066" w:hanging="357"/>
        <w:contextualSpacing/>
      </w:pPr>
      <w:r w:rsidRPr="0070049F">
        <w:t>lo schema di delibera del bilancio di previsione finanziario, da presentare all’Assemblea Consortile  entro il 15 novembre di ogni anno. A seguito di variazioni del quadro normativo di riferimento, la Giunta Comunale o il Consiglio di Amministrazione nel caso dei Consorzi aggiorna lo schema di delibera di bilancio di previsione in corso di approvazione unitamente al DUP;</w:t>
      </w:r>
    </w:p>
    <w:p w:rsidR="0039794A" w:rsidRPr="0070049F" w:rsidRDefault="0039794A" w:rsidP="0039794A">
      <w:pPr>
        <w:ind w:left="1068"/>
        <w:contextualSpacing/>
      </w:pPr>
    </w:p>
    <w:p w:rsidR="0039794A" w:rsidRPr="0070049F" w:rsidRDefault="0039794A" w:rsidP="0039794A">
      <w:pPr>
        <w:numPr>
          <w:ilvl w:val="0"/>
          <w:numId w:val="2"/>
        </w:numPr>
        <w:spacing w:line="360" w:lineRule="auto"/>
        <w:ind w:left="1066" w:hanging="357"/>
        <w:contextualSpacing/>
      </w:pPr>
      <w:r w:rsidRPr="0070049F">
        <w:t xml:space="preserve">il piano esecutivo di gestione e delle performances approvato dalla Giunta Comunale o dal Consiglio di Amministrazione nel caso dei Consorzi  entro </w:t>
      </w:r>
      <w:r w:rsidRPr="0070049F">
        <w:tab/>
        <w:t>10 giorni dall'approvazione del bilancio;</w:t>
      </w:r>
    </w:p>
    <w:p w:rsidR="0039794A" w:rsidRPr="0070049F" w:rsidRDefault="0039794A" w:rsidP="0039794A">
      <w:pPr>
        <w:ind w:left="1068"/>
        <w:contextualSpacing/>
      </w:pPr>
    </w:p>
    <w:p w:rsidR="0039794A" w:rsidRPr="0070049F" w:rsidRDefault="0039794A" w:rsidP="0039794A">
      <w:pPr>
        <w:numPr>
          <w:ilvl w:val="0"/>
          <w:numId w:val="2"/>
        </w:numPr>
        <w:spacing w:line="360" w:lineRule="auto"/>
        <w:ind w:left="1066" w:hanging="357"/>
        <w:contextualSpacing/>
      </w:pPr>
      <w:r w:rsidRPr="0070049F">
        <w:t>il piano degli indicatori di bilancio presentato al Consiglio Comunale o all’Assemblea Consortile nel caso dei Consorzi unitamente al bilancio di previsione e al rendiconto o entro 30 giorni dall'approvazione di tali documenti;</w:t>
      </w:r>
    </w:p>
    <w:p w:rsidR="0039794A" w:rsidRPr="0070049F" w:rsidRDefault="0039794A" w:rsidP="0039794A">
      <w:pPr>
        <w:ind w:left="1068"/>
        <w:contextualSpacing/>
      </w:pPr>
    </w:p>
    <w:p w:rsidR="0039794A" w:rsidRPr="0070049F" w:rsidRDefault="0039794A" w:rsidP="0039794A">
      <w:pPr>
        <w:numPr>
          <w:ilvl w:val="0"/>
          <w:numId w:val="2"/>
        </w:numPr>
        <w:spacing w:line="360" w:lineRule="auto"/>
        <w:ind w:left="1066" w:hanging="357"/>
        <w:contextualSpacing/>
      </w:pPr>
      <w:r w:rsidRPr="0070049F">
        <w:t>lo schema di delibera di assestamento del bilancio, comprendente lo stato di attuazione dei programmi e il controllo della salvaguardia degli equilibri di bilancio;</w:t>
      </w:r>
    </w:p>
    <w:p w:rsidR="0039794A" w:rsidRPr="0070049F" w:rsidRDefault="0039794A" w:rsidP="0039794A">
      <w:pPr>
        <w:ind w:left="1068"/>
        <w:contextualSpacing/>
      </w:pPr>
    </w:p>
    <w:p w:rsidR="0039794A" w:rsidRPr="0070049F" w:rsidRDefault="0039794A" w:rsidP="0039794A">
      <w:pPr>
        <w:numPr>
          <w:ilvl w:val="0"/>
          <w:numId w:val="2"/>
        </w:numPr>
        <w:spacing w:line="360" w:lineRule="auto"/>
        <w:ind w:left="1066" w:hanging="357"/>
        <w:contextualSpacing/>
      </w:pPr>
      <w:r w:rsidRPr="0070049F">
        <w:t>le variazioni di bilancio;</w:t>
      </w:r>
    </w:p>
    <w:p w:rsidR="0039794A" w:rsidRPr="0070049F" w:rsidRDefault="0039794A" w:rsidP="0039794A">
      <w:pPr>
        <w:ind w:left="1068"/>
        <w:contextualSpacing/>
      </w:pPr>
    </w:p>
    <w:p w:rsidR="0039794A" w:rsidRPr="0070049F" w:rsidRDefault="0039794A" w:rsidP="0039794A">
      <w:pPr>
        <w:numPr>
          <w:ilvl w:val="0"/>
          <w:numId w:val="2"/>
        </w:numPr>
        <w:spacing w:line="360" w:lineRule="auto"/>
        <w:ind w:left="1066" w:hanging="357"/>
        <w:contextualSpacing/>
      </w:pPr>
      <w:r w:rsidRPr="0070049F">
        <w:t>lo schema di rendiconto sulla gestione, che conclude il sistema di bilancio dell'ente, da approvarsi da parte della Giunta Comunale o del Consiglio di Amministrazione nel caso dei Consorzi entro il 30 aprile dell'anno successivo all'esercizio di riferimento ed entro il 31 maggio da parte del Consiglio Comunale o dell’Assemblea Consortile nel caso dei Consorzi.</w:t>
      </w:r>
    </w:p>
    <w:p w:rsidR="0039794A" w:rsidRPr="0070049F" w:rsidRDefault="0039794A" w:rsidP="0039794A">
      <w:pPr>
        <w:spacing w:line="360" w:lineRule="auto"/>
        <w:ind w:firstLine="432"/>
      </w:pPr>
      <w:r w:rsidRPr="0070049F">
        <w:t>Tutti i documenti di verifica saranno pubblicati sul sito internet del Consorzio all’indirizzo www.consorziorifiutivco.it, al fine di assicurarne la più ampia diffusione e conoscibilità.</w:t>
      </w:r>
    </w:p>
    <w:p w:rsidR="0039794A" w:rsidRPr="0070049F" w:rsidRDefault="0039794A" w:rsidP="0039794A">
      <w:pPr>
        <w:ind w:left="1068"/>
        <w:contextualSpacing/>
        <w:sectPr w:rsidR="0039794A" w:rsidRPr="0070049F" w:rsidSect="00DA6A6B">
          <w:footerReference w:type="default" r:id="rId37"/>
          <w:pgSz w:w="11906" w:h="16838" w:code="9"/>
          <w:pgMar w:top="1418" w:right="1134" w:bottom="1134" w:left="1134" w:header="709" w:footer="709" w:gutter="0"/>
          <w:cols w:space="708"/>
          <w:docGrid w:linePitch="360"/>
        </w:sectPr>
      </w:pPr>
    </w:p>
    <w:p w:rsidR="0039794A" w:rsidRDefault="0039794A" w:rsidP="00DA6A6B"/>
    <w:p w:rsidR="0039794A" w:rsidRDefault="0039794A" w:rsidP="00DA6A6B"/>
    <w:p w:rsidR="00701503" w:rsidRDefault="00F17C71" w:rsidP="0058641B">
      <w:pPr>
        <w:pStyle w:val="Titolo1"/>
      </w:pPr>
      <w:bookmarkStart w:id="17" w:name="_Toc496177145"/>
      <w:r>
        <w:t>SEZIONE OPERATIVA</w:t>
      </w:r>
      <w:r w:rsidR="000239FD">
        <w:br/>
        <w:t>(SeO)</w:t>
      </w:r>
      <w:bookmarkEnd w:id="17"/>
    </w:p>
    <w:p w:rsidR="00701503" w:rsidRDefault="00701503" w:rsidP="00701503"/>
    <w:p w:rsidR="00701503" w:rsidRPr="00701503" w:rsidRDefault="00701503" w:rsidP="00701503">
      <w:pPr>
        <w:sectPr w:rsidR="00701503" w:rsidRPr="00701503" w:rsidSect="00701503">
          <w:headerReference w:type="default" r:id="rId38"/>
          <w:footerReference w:type="default" r:id="rId39"/>
          <w:pgSz w:w="11906" w:h="16838"/>
          <w:pgMar w:top="1418" w:right="1134" w:bottom="1134" w:left="1134" w:header="709" w:footer="709" w:gutter="0"/>
          <w:cols w:space="708"/>
          <w:vAlign w:val="center"/>
          <w:docGrid w:linePitch="360"/>
        </w:sectPr>
      </w:pPr>
    </w:p>
    <w:p w:rsidR="00A3734B" w:rsidRDefault="00A3734B" w:rsidP="00A3734B">
      <w:pPr>
        <w:pStyle w:val="Titolo2"/>
      </w:pPr>
      <w:bookmarkStart w:id="18" w:name="_Toc496177146"/>
      <w:r>
        <w:lastRenderedPageBreak/>
        <w:t>Parte Prima</w:t>
      </w:r>
      <w:bookmarkEnd w:id="18"/>
    </w:p>
    <w:p w:rsidR="00A3734B" w:rsidRDefault="00A3734B" w:rsidP="00A3734B"/>
    <w:p w:rsidR="00A3734B" w:rsidRDefault="00A3734B" w:rsidP="00A3734B">
      <w:pPr>
        <w:sectPr w:rsidR="00A3734B" w:rsidSect="00EA4BE0">
          <w:headerReference w:type="default" r:id="rId40"/>
          <w:footerReference w:type="default" r:id="rId41"/>
          <w:pgSz w:w="11906" w:h="16838"/>
          <w:pgMar w:top="1418" w:right="1134" w:bottom="1134" w:left="1134" w:header="709" w:footer="709" w:gutter="0"/>
          <w:cols w:space="708"/>
          <w:vAlign w:val="center"/>
          <w:docGrid w:linePitch="360"/>
        </w:sectPr>
      </w:pPr>
    </w:p>
    <w:p w:rsidR="00127315" w:rsidRDefault="00A3734B" w:rsidP="00127315">
      <w:pPr>
        <w:pStyle w:val="Titolo3"/>
      </w:pPr>
      <w:r>
        <w:lastRenderedPageBreak/>
        <w:t xml:space="preserve"> </w:t>
      </w:r>
      <w:bookmarkStart w:id="19" w:name="_Toc496177147"/>
      <w:r w:rsidR="00127315" w:rsidRPr="005C72C4">
        <w:t xml:space="preserve">Descrizione dei programmi </w:t>
      </w:r>
      <w:bookmarkEnd w:id="19"/>
      <w:r w:rsidR="0039794A">
        <w:t>e obiettivi operativi</w:t>
      </w:r>
    </w:p>
    <w:p w:rsidR="00127315" w:rsidRDefault="00127315" w:rsidP="00127315"/>
    <w:p w:rsidR="006520A0" w:rsidRPr="00AB0B9E" w:rsidRDefault="006520A0" w:rsidP="006520A0">
      <w:pPr>
        <w:widowControl w:val="0"/>
        <w:tabs>
          <w:tab w:val="left" w:pos="1133"/>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right="284"/>
      </w:pPr>
      <w:r w:rsidRPr="00AB0B9E">
        <w:t>Come già descritto nella parte introduttiva di questo documento, il DUP costituisce il documento di maggiore importanza nella definizione degli indirizzi e dal quale si evincono le scelte strategiche e programmatiche operate dall'amministrazione: gli obiettivi gestionali, infatti, non costituiscono che una ulteriore definizione dell'attività programmatica definita già nelle missioni e nei programmi del DUP.</w:t>
      </w:r>
    </w:p>
    <w:p w:rsidR="006520A0" w:rsidRPr="00AB0B9E" w:rsidRDefault="006520A0" w:rsidP="006520A0">
      <w:pPr>
        <w:widowControl w:val="0"/>
        <w:tabs>
          <w:tab w:val="left" w:pos="1133"/>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ind w:right="284"/>
      </w:pPr>
      <w:r w:rsidRPr="00AB0B9E">
        <w:t>Nella prima parte del documento abbiamo già analizzato le missioni che compongono la spesa ed individuato gli obiettivi strategici ad esse riferibili.</w:t>
      </w:r>
    </w:p>
    <w:p w:rsidR="006520A0" w:rsidRPr="00AB0B9E" w:rsidRDefault="006520A0" w:rsidP="006520A0">
      <w:pPr>
        <w:widowControl w:val="0"/>
        <w:tabs>
          <w:tab w:val="left" w:pos="1133"/>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right="284"/>
      </w:pPr>
      <w:r w:rsidRPr="00AB0B9E">
        <w:t>Nella presente sezione, invece approfondiremo l'analisi delle missioni e dei i programmi correlati, analizzandone le finalità, gli obiettivi annuali e pluriennali e le risorse umane finanziarie e strumentali assegnate per conseguirli.</w:t>
      </w:r>
    </w:p>
    <w:p w:rsidR="006520A0" w:rsidRPr="00AB0B9E" w:rsidRDefault="006520A0" w:rsidP="006520A0">
      <w:pPr>
        <w:widowControl w:val="0"/>
        <w:tabs>
          <w:tab w:val="left" w:pos="1133"/>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right="284"/>
      </w:pPr>
      <w:r w:rsidRPr="00AB0B9E">
        <w:t>Ciascuna missione, in ragione delle esigenze di gestione connesse tanto alle scelte di indirizzo quanto ai vincoli (normativi, tecnici o strutturali), riveste, all’interno del contesto di programmazione, una propria importanza e vede ad esso associati determinati macro-aggregati di spesa, che ne misurano l’impatto sia sulla struttura organizzativa dell’ente che sulle entrate che lo finanziano.</w:t>
      </w:r>
    </w:p>
    <w:p w:rsidR="006520A0" w:rsidRPr="00AB0B9E" w:rsidRDefault="006520A0" w:rsidP="006520A0">
      <w:pPr>
        <w:widowControl w:val="0"/>
        <w:tabs>
          <w:tab w:val="left" w:pos="1133"/>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right="284"/>
      </w:pPr>
      <w:r w:rsidRPr="00AB0B9E">
        <w:t>L'attenzione dell'amministrazione verso una missione piuttosto che un'altra può essere misurata, inizialmente, dalla quantità di risorse assegnate. Si tratta di una prima valutazione che deve, di volta in volta, trovare conferma anche tenendo conto della natura della stessa.</w:t>
      </w:r>
    </w:p>
    <w:p w:rsidR="006520A0" w:rsidRPr="00AB0B9E" w:rsidRDefault="006520A0" w:rsidP="006520A0">
      <w:pPr>
        <w:widowControl w:val="0"/>
        <w:tabs>
          <w:tab w:val="left" w:pos="1133"/>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right="284"/>
      </w:pPr>
      <w:r w:rsidRPr="00AB0B9E">
        <w:t>Ciascuna missione è articolata in programmi che ne evidenziano in modo ancor più analitico le principali attività.</w:t>
      </w:r>
    </w:p>
    <w:p w:rsidR="006520A0" w:rsidRPr="00AB0B9E" w:rsidRDefault="006520A0" w:rsidP="006520A0">
      <w:pPr>
        <w:widowControl w:val="0"/>
        <w:tabs>
          <w:tab w:val="left" w:pos="1133"/>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right="284"/>
      </w:pPr>
      <w:r w:rsidRPr="00AB0B9E">
        <w:rPr>
          <w:rFonts w:cs="Tahoma"/>
        </w:rPr>
        <w:t xml:space="preserve">Al </w:t>
      </w:r>
      <w:r w:rsidRPr="00AB0B9E">
        <w:rPr>
          <w:rFonts w:cs="Tahoma"/>
          <w:b/>
        </w:rPr>
        <w:t>Titolo I</w:t>
      </w:r>
      <w:r w:rsidRPr="00AB0B9E">
        <w:rPr>
          <w:rFonts w:cs="Tahoma"/>
          <w:b/>
          <w:color w:val="FF0000"/>
        </w:rPr>
        <w:t xml:space="preserve"> </w:t>
      </w:r>
      <w:r w:rsidRPr="00AB0B9E">
        <w:rPr>
          <w:rFonts w:cs="Tahoma"/>
          <w:b/>
        </w:rPr>
        <w:t xml:space="preserve">delle spese </w:t>
      </w:r>
      <w:r w:rsidRPr="00AB0B9E">
        <w:rPr>
          <w:rFonts w:cs="Tahoma"/>
        </w:rPr>
        <w:t>rientrano tutti i costi di funzionamento dell’Ente ovvero le spese degli organi istituzionali – le spese del personale – le spese per l’acquisto di beni di consumo e/o materie prime – le spese per prestazioni di servizio, incarichi professionali e di consulenza – le spese per l’utilizzo di beni di terzi – le spese per interessi ed oneri finanziari diversi – le spese per imposte e tasse – le spese per ammortamenti  - il fondo di riserva e il fondo svalutazione crediti.</w:t>
      </w:r>
    </w:p>
    <w:p w:rsidR="006520A0" w:rsidRPr="00AB0B9E" w:rsidRDefault="006520A0" w:rsidP="006520A0">
      <w:pPr>
        <w:widowControl w:val="0"/>
        <w:tabs>
          <w:tab w:val="left" w:pos="3686"/>
        </w:tabs>
        <w:spacing w:line="360" w:lineRule="auto"/>
        <w:ind w:firstLine="720"/>
        <w:rPr>
          <w:rFonts w:cs="Tahoma"/>
        </w:rPr>
      </w:pPr>
      <w:r w:rsidRPr="00AB0B9E">
        <w:rPr>
          <w:rFonts w:cs="Tahoma"/>
        </w:rPr>
        <w:t xml:space="preserve"> Di seguito, si riportano le spese generali di funzionamento più significative:</w:t>
      </w:r>
    </w:p>
    <w:p w:rsidR="006520A0" w:rsidRPr="00F800E7" w:rsidRDefault="00405869" w:rsidP="006520A0">
      <w:pPr>
        <w:widowControl w:val="0"/>
        <w:tabs>
          <w:tab w:val="left" w:pos="3686"/>
        </w:tabs>
        <w:spacing w:line="360" w:lineRule="auto"/>
        <w:rPr>
          <w:rFonts w:cs="Tahoma"/>
        </w:rPr>
      </w:pPr>
      <w:r w:rsidRPr="00F800E7">
        <w:rPr>
          <w:rFonts w:cs="Tahoma"/>
          <w:b/>
        </w:rPr>
        <w:lastRenderedPageBreak/>
        <w:t>€ 5.4</w:t>
      </w:r>
      <w:r w:rsidR="006520A0" w:rsidRPr="00F800E7">
        <w:rPr>
          <w:rFonts w:cs="Tahoma"/>
          <w:b/>
        </w:rPr>
        <w:t>00,00</w:t>
      </w:r>
      <w:r w:rsidR="006520A0" w:rsidRPr="00F800E7">
        <w:rPr>
          <w:rFonts w:cs="Tahoma"/>
          <w:b/>
          <w:color w:val="FF0000"/>
        </w:rPr>
        <w:t xml:space="preserve"> </w:t>
      </w:r>
      <w:r w:rsidR="006520A0" w:rsidRPr="00F800E7">
        <w:rPr>
          <w:rFonts w:cs="Tahoma"/>
        </w:rPr>
        <w:t>per compenso dovuto a Revisore, affitto sala per assemblee consortili e riunioni istituzionali, rimborso spese amministratori e spese varie;</w:t>
      </w:r>
    </w:p>
    <w:p w:rsidR="006520A0" w:rsidRPr="00F800E7" w:rsidRDefault="00F800E7" w:rsidP="006520A0">
      <w:pPr>
        <w:widowControl w:val="0"/>
        <w:tabs>
          <w:tab w:val="left" w:pos="3686"/>
        </w:tabs>
        <w:spacing w:line="360" w:lineRule="auto"/>
        <w:rPr>
          <w:rFonts w:cs="Tahoma"/>
        </w:rPr>
      </w:pPr>
      <w:r w:rsidRPr="00F800E7">
        <w:rPr>
          <w:rFonts w:cs="Tahoma"/>
          <w:b/>
        </w:rPr>
        <w:t>€260</w:t>
      </w:r>
      <w:r w:rsidR="006520A0" w:rsidRPr="00F800E7">
        <w:rPr>
          <w:rFonts w:cs="Tahoma"/>
          <w:b/>
        </w:rPr>
        <w:t>.</w:t>
      </w:r>
      <w:r w:rsidRPr="00F800E7">
        <w:rPr>
          <w:rFonts w:cs="Tahoma"/>
          <w:b/>
        </w:rPr>
        <w:t>3</w:t>
      </w:r>
      <w:r w:rsidR="006520A0" w:rsidRPr="00F800E7">
        <w:rPr>
          <w:rFonts w:cs="Tahoma"/>
          <w:b/>
        </w:rPr>
        <w:t xml:space="preserve">00 </w:t>
      </w:r>
      <w:r w:rsidR="006520A0" w:rsidRPr="00F800E7">
        <w:rPr>
          <w:rFonts w:cs="Tahoma"/>
        </w:rPr>
        <w:t>per i compensi dovuti al Segretario, al Direttore dell’Ente responsabile dell’Area Amministrativa Tecnica e Contabile, all’Istruttore Direttivo Settore Economico/Finanziario cat D/2, all’Istruttore Direttivo Settore Tecnico e Contratti cat. D/3 e all’istruttore amministrativo cat. C2 a tempo pieno; in tale importo di spesa sono stati considerati anche le spese per la produttività ed indennità di risultato;</w:t>
      </w:r>
    </w:p>
    <w:p w:rsidR="006520A0" w:rsidRPr="00F800E7" w:rsidRDefault="00405869" w:rsidP="006520A0">
      <w:pPr>
        <w:widowControl w:val="0"/>
        <w:tabs>
          <w:tab w:val="left" w:pos="3686"/>
        </w:tabs>
        <w:spacing w:line="360" w:lineRule="auto"/>
        <w:rPr>
          <w:rFonts w:cs="Tahoma"/>
          <w:b/>
        </w:rPr>
      </w:pPr>
      <w:r w:rsidRPr="00F800E7">
        <w:rPr>
          <w:rFonts w:cs="Tahoma"/>
          <w:b/>
        </w:rPr>
        <w:t>€ 6.0</w:t>
      </w:r>
      <w:r w:rsidR="006520A0" w:rsidRPr="00F800E7">
        <w:rPr>
          <w:rFonts w:cs="Tahoma"/>
          <w:b/>
        </w:rPr>
        <w:t xml:space="preserve">00,00 </w:t>
      </w:r>
      <w:r w:rsidR="006520A0" w:rsidRPr="00F800E7">
        <w:rPr>
          <w:rFonts w:cs="Tahoma"/>
        </w:rPr>
        <w:t>per acquisto di beni di consumo;</w:t>
      </w:r>
    </w:p>
    <w:p w:rsidR="006520A0" w:rsidRPr="00405869" w:rsidRDefault="00405869" w:rsidP="006520A0">
      <w:pPr>
        <w:widowControl w:val="0"/>
        <w:tabs>
          <w:tab w:val="left" w:pos="3686"/>
        </w:tabs>
        <w:spacing w:line="360" w:lineRule="auto"/>
        <w:rPr>
          <w:rFonts w:cs="Tahoma"/>
        </w:rPr>
      </w:pPr>
      <w:r w:rsidRPr="00405869">
        <w:rPr>
          <w:rFonts w:cs="Tahoma"/>
          <w:b/>
        </w:rPr>
        <w:t>€ 118</w:t>
      </w:r>
      <w:r w:rsidR="006520A0" w:rsidRPr="00405869">
        <w:rPr>
          <w:rFonts w:cs="Tahoma"/>
          <w:b/>
        </w:rPr>
        <w:t xml:space="preserve">.000,00 </w:t>
      </w:r>
      <w:r w:rsidR="006520A0" w:rsidRPr="00405869">
        <w:rPr>
          <w:rFonts w:cs="Tahoma"/>
        </w:rPr>
        <w:t xml:space="preserve"> per il conferimento di prestazioni di servizio-incarichi professionali e consulenze riguardanti la gestione istituzionale amministrativa dell’Ente; in particolare sono previste le spese per contratti a progetto, le spese per l’affidamento del servizio di  elaborazione paghe e contributi, le spese per la manutenzione dei software e della rete informatica, consulenza fiscale, assicurazioni, buoni pasto, corsi di formazione, riparazione automezzi ecc…; E’ da segnalare che sono comprese per €20.000,00 le spese che il Consorzio dovrà sostenere per la gestione residui TIA del Comune di Verbania (spese postali invio atti giudiziari) che vengono rimborsati in toto dal Comune di Verbania con una maggiorazione di apri importi applicata sulla quota c</w:t>
      </w:r>
      <w:r>
        <w:rPr>
          <w:rFonts w:cs="Tahoma"/>
        </w:rPr>
        <w:t>onsortile a carico dello stesso; è stata inserita inoltre la spesa per le prestazioni di lavoro interinale di n. 1 unità di personale B3 in sostituzione della dipendente inquadrata in C2 assente per maternità.</w:t>
      </w:r>
    </w:p>
    <w:p w:rsidR="006520A0" w:rsidRPr="00F800E7" w:rsidRDefault="006520A0" w:rsidP="006520A0">
      <w:pPr>
        <w:widowControl w:val="0"/>
        <w:tabs>
          <w:tab w:val="left" w:pos="3686"/>
        </w:tabs>
        <w:spacing w:line="360" w:lineRule="auto"/>
        <w:rPr>
          <w:rFonts w:cs="Tahoma"/>
        </w:rPr>
      </w:pPr>
      <w:r w:rsidRPr="00F800E7">
        <w:rPr>
          <w:rFonts w:cs="Tahoma"/>
          <w:b/>
        </w:rPr>
        <w:t xml:space="preserve">€ 4.200,00 </w:t>
      </w:r>
      <w:r w:rsidRPr="00F800E7">
        <w:rPr>
          <w:rFonts w:cs="Tahoma"/>
        </w:rPr>
        <w:t>per rimborso forfetario a Conservo SpA spa per utilizzo locali sede;</w:t>
      </w:r>
    </w:p>
    <w:p w:rsidR="006520A0" w:rsidRPr="00F800E7" w:rsidRDefault="006520A0" w:rsidP="006520A0">
      <w:pPr>
        <w:widowControl w:val="0"/>
        <w:tabs>
          <w:tab w:val="left" w:pos="3686"/>
        </w:tabs>
        <w:spacing w:line="360" w:lineRule="auto"/>
        <w:rPr>
          <w:rFonts w:cs="Tahoma"/>
        </w:rPr>
      </w:pPr>
      <w:r w:rsidRPr="00F800E7">
        <w:rPr>
          <w:rFonts w:cs="Tahoma"/>
          <w:b/>
        </w:rPr>
        <w:t>€ 17.</w:t>
      </w:r>
      <w:r w:rsidR="00F800E7" w:rsidRPr="00F800E7">
        <w:rPr>
          <w:rFonts w:cs="Tahoma"/>
          <w:b/>
        </w:rPr>
        <w:t>2</w:t>
      </w:r>
      <w:r w:rsidRPr="00F800E7">
        <w:rPr>
          <w:rFonts w:cs="Tahoma"/>
          <w:b/>
        </w:rPr>
        <w:t>00,00</w:t>
      </w:r>
      <w:r w:rsidRPr="00F800E7">
        <w:rPr>
          <w:rFonts w:cs="Tahoma"/>
          <w:b/>
          <w:color w:val="FF0000"/>
        </w:rPr>
        <w:t xml:space="preserve"> </w:t>
      </w:r>
      <w:r w:rsidRPr="00F800E7">
        <w:rPr>
          <w:rFonts w:cs="Tahoma"/>
        </w:rPr>
        <w:t>per IRAP su retribuzioni personale amministrativo e tecnico;</w:t>
      </w:r>
    </w:p>
    <w:p w:rsidR="006520A0" w:rsidRPr="00F15C95" w:rsidRDefault="00F15C95" w:rsidP="006520A0">
      <w:pPr>
        <w:widowControl w:val="0"/>
        <w:tabs>
          <w:tab w:val="left" w:pos="3686"/>
        </w:tabs>
        <w:spacing w:line="360" w:lineRule="auto"/>
        <w:rPr>
          <w:rFonts w:cs="Tahoma"/>
        </w:rPr>
      </w:pPr>
      <w:r w:rsidRPr="00F15C95">
        <w:rPr>
          <w:rFonts w:cs="Tahoma"/>
          <w:b/>
        </w:rPr>
        <w:t>€ 27.3</w:t>
      </w:r>
      <w:r w:rsidR="006520A0" w:rsidRPr="00F15C95">
        <w:rPr>
          <w:rFonts w:cs="Tahoma"/>
          <w:b/>
        </w:rPr>
        <w:t>00,00</w:t>
      </w:r>
      <w:r w:rsidR="006520A0" w:rsidRPr="00F15C95">
        <w:rPr>
          <w:rFonts w:cs="Tahoma"/>
          <w:color w:val="FF0000"/>
        </w:rPr>
        <w:t xml:space="preserve"> </w:t>
      </w:r>
      <w:r w:rsidR="006520A0" w:rsidRPr="00F15C95">
        <w:rPr>
          <w:rFonts w:cs="Tahoma"/>
        </w:rPr>
        <w:t xml:space="preserve">quale fondo di riserva </w:t>
      </w:r>
      <w:r w:rsidRPr="00F15C95">
        <w:rPr>
          <w:rFonts w:cs="Tahoma"/>
        </w:rPr>
        <w:t xml:space="preserve"> e di cassa dell’Ente</w:t>
      </w:r>
      <w:r w:rsidR="006520A0" w:rsidRPr="00F15C95">
        <w:rPr>
          <w:rFonts w:cs="Tahoma"/>
        </w:rPr>
        <w:t xml:space="preserve">; </w:t>
      </w:r>
    </w:p>
    <w:p w:rsidR="006520A0" w:rsidRPr="00F15C95" w:rsidRDefault="006520A0" w:rsidP="006520A0">
      <w:pPr>
        <w:widowControl w:val="0"/>
        <w:tabs>
          <w:tab w:val="left" w:pos="3686"/>
        </w:tabs>
        <w:spacing w:line="360" w:lineRule="auto"/>
        <w:rPr>
          <w:rFonts w:cs="Tahoma"/>
        </w:rPr>
      </w:pPr>
      <w:r w:rsidRPr="00F15C95">
        <w:rPr>
          <w:rFonts w:cs="Tahoma"/>
          <w:b/>
        </w:rPr>
        <w:t xml:space="preserve">€15.000,00 </w:t>
      </w:r>
      <w:r w:rsidRPr="00F15C95">
        <w:rPr>
          <w:rFonts w:cs="Tahoma"/>
        </w:rPr>
        <w:t>quale fondo svalutazione crediti su spese generali dell’Ente;</w:t>
      </w:r>
    </w:p>
    <w:p w:rsidR="006520A0" w:rsidRPr="00F15C95" w:rsidRDefault="00F15C95" w:rsidP="006520A0">
      <w:pPr>
        <w:widowControl w:val="0"/>
        <w:tabs>
          <w:tab w:val="left" w:pos="3686"/>
        </w:tabs>
        <w:spacing w:line="360" w:lineRule="auto"/>
        <w:rPr>
          <w:rFonts w:cs="Tahoma"/>
        </w:rPr>
      </w:pPr>
      <w:r w:rsidRPr="00F15C95">
        <w:rPr>
          <w:rFonts w:cs="Tahoma"/>
          <w:b/>
        </w:rPr>
        <w:t>€ 23.750</w:t>
      </w:r>
      <w:r w:rsidR="006520A0" w:rsidRPr="00F15C95">
        <w:rPr>
          <w:rFonts w:cs="Tahoma"/>
          <w:b/>
        </w:rPr>
        <w:t>,00</w:t>
      </w:r>
      <w:r w:rsidR="006520A0" w:rsidRPr="00F15C95">
        <w:rPr>
          <w:rFonts w:cs="Tahoma"/>
        </w:rPr>
        <w:t xml:space="preserve"> per prestazioni di servizio afferenti ai lavori di chiusura della discarica consortile di Domodossola ed al relativo piano operativo di bonifica:</w:t>
      </w:r>
    </w:p>
    <w:p w:rsidR="006520A0" w:rsidRPr="00F15C95" w:rsidRDefault="00F15C95" w:rsidP="006520A0">
      <w:pPr>
        <w:widowControl w:val="0"/>
        <w:tabs>
          <w:tab w:val="left" w:pos="3686"/>
        </w:tabs>
        <w:spacing w:line="360" w:lineRule="auto"/>
        <w:rPr>
          <w:rFonts w:cs="Tahoma"/>
        </w:rPr>
      </w:pPr>
      <w:r w:rsidRPr="00F15C95">
        <w:rPr>
          <w:rFonts w:cs="Tahoma"/>
          <w:b/>
        </w:rPr>
        <w:t>€ 5.00</w:t>
      </w:r>
      <w:r w:rsidR="006520A0" w:rsidRPr="00F15C95">
        <w:rPr>
          <w:rFonts w:cs="Tahoma"/>
          <w:b/>
        </w:rPr>
        <w:t>0,00</w:t>
      </w:r>
      <w:r w:rsidR="006520A0" w:rsidRPr="00F15C95">
        <w:rPr>
          <w:rFonts w:cs="Tahoma"/>
          <w:b/>
          <w:color w:val="FF0000"/>
        </w:rPr>
        <w:t xml:space="preserve"> </w:t>
      </w:r>
      <w:r w:rsidR="006520A0" w:rsidRPr="00F15C95">
        <w:rPr>
          <w:rFonts w:cs="Tahoma"/>
        </w:rPr>
        <w:t>quale spese per prestazioni di servizio relative al reparto tecnico dell’Ente, quali:</w:t>
      </w:r>
    </w:p>
    <w:p w:rsidR="006520A0" w:rsidRPr="00F15C95" w:rsidRDefault="006520A0" w:rsidP="006520A0">
      <w:pPr>
        <w:widowControl w:val="0"/>
        <w:tabs>
          <w:tab w:val="left" w:pos="3686"/>
        </w:tabs>
        <w:spacing w:line="360" w:lineRule="auto"/>
        <w:rPr>
          <w:rFonts w:cs="Tahoma"/>
        </w:rPr>
      </w:pPr>
      <w:r w:rsidRPr="00F15C95">
        <w:rPr>
          <w:rFonts w:cs="Tahoma"/>
        </w:rPr>
        <w:lastRenderedPageBreak/>
        <w:t>-€2.000,00 per aggiornamento sito “23 bis” ad uso dei tutti Comuni consorziati recante situazione aggiornata delle schede di servizio di ogni singolo Comune;</w:t>
      </w:r>
    </w:p>
    <w:p w:rsidR="006520A0" w:rsidRPr="00F15C95" w:rsidRDefault="00F15C95" w:rsidP="006520A0">
      <w:pPr>
        <w:widowControl w:val="0"/>
        <w:tabs>
          <w:tab w:val="left" w:pos="3686"/>
        </w:tabs>
        <w:spacing w:line="360" w:lineRule="auto"/>
        <w:rPr>
          <w:rFonts w:cs="Tahoma"/>
        </w:rPr>
      </w:pPr>
      <w:r w:rsidRPr="00F15C95">
        <w:rPr>
          <w:rFonts w:cs="Tahoma"/>
        </w:rPr>
        <w:t>-€3.00</w:t>
      </w:r>
      <w:r w:rsidR="006520A0" w:rsidRPr="00F15C95">
        <w:rPr>
          <w:rFonts w:cs="Tahoma"/>
        </w:rPr>
        <w:t>0,00 stipula convenzione con impianto inerti sito in Località Santino nel Comune di Verbania di proprietà della Cooperativa Sociale Risorse al fine di permettere ai cittadini di tutti i n.76 Comuni il conferimento gratuito, entro limiti quantitativi prestabiliti, di rifiuti inerti (materiale da demolizione/costruzione) di provenienza domestica e scarti di origine vegetale;</w:t>
      </w:r>
    </w:p>
    <w:p w:rsidR="006520A0" w:rsidRPr="00F15C95" w:rsidRDefault="00F15C95" w:rsidP="006520A0">
      <w:pPr>
        <w:widowControl w:val="0"/>
        <w:tabs>
          <w:tab w:val="left" w:pos="3686"/>
        </w:tabs>
        <w:spacing w:line="360" w:lineRule="auto"/>
        <w:rPr>
          <w:rFonts w:cs="Tahoma"/>
        </w:rPr>
      </w:pPr>
      <w:r w:rsidRPr="00F15C95">
        <w:rPr>
          <w:rFonts w:cs="Tahoma"/>
          <w:b/>
        </w:rPr>
        <w:t>€ 1</w:t>
      </w:r>
      <w:r w:rsidR="006520A0" w:rsidRPr="00F15C95">
        <w:rPr>
          <w:rFonts w:cs="Tahoma"/>
          <w:b/>
        </w:rPr>
        <w:t>0.000,00</w:t>
      </w:r>
      <w:r w:rsidR="006520A0" w:rsidRPr="00F15C95">
        <w:rPr>
          <w:rFonts w:cs="Tahoma"/>
        </w:rPr>
        <w:t xml:space="preserve"> per progetti di sensibilizzazione e di informazione circa le modalità di corretta separazione dei rifiuti recuperabili con particolare declinazione della campagna verso la raccolta differenziata dei rifiuti di imballaggio in plastica anche a seguito dell’uniformazione dei flussi di raccolta per l’intero ambito provinciale; </w:t>
      </w:r>
    </w:p>
    <w:p w:rsidR="006520A0" w:rsidRPr="00F15C95" w:rsidRDefault="00F15C95" w:rsidP="006520A0">
      <w:pPr>
        <w:widowControl w:val="0"/>
        <w:tabs>
          <w:tab w:val="left" w:pos="3686"/>
        </w:tabs>
        <w:spacing w:line="360" w:lineRule="auto"/>
        <w:rPr>
          <w:rFonts w:cs="Tahoma"/>
        </w:rPr>
      </w:pPr>
      <w:r w:rsidRPr="00F15C95">
        <w:rPr>
          <w:rFonts w:cs="Tahoma"/>
          <w:b/>
        </w:rPr>
        <w:t>€ 2.210,00</w:t>
      </w:r>
      <w:r w:rsidR="006520A0" w:rsidRPr="00F15C95">
        <w:rPr>
          <w:rFonts w:cs="Tahoma"/>
        </w:rPr>
        <w:t xml:space="preserve"> quale importo per il pagamento degli interessi passivi dei mutui in ammortamento già del preesistente Cob di Verbania ed a suo tempo contratti per investimenti a carico degli impianti di smaltimento in Mergozzo;</w:t>
      </w:r>
    </w:p>
    <w:p w:rsidR="006520A0" w:rsidRPr="00F15C95" w:rsidRDefault="006520A0" w:rsidP="006520A0">
      <w:pPr>
        <w:widowControl w:val="0"/>
        <w:tabs>
          <w:tab w:val="left" w:pos="3686"/>
        </w:tabs>
        <w:spacing w:line="360" w:lineRule="auto"/>
        <w:rPr>
          <w:rFonts w:cs="Tahoma"/>
        </w:rPr>
      </w:pPr>
      <w:r w:rsidRPr="00F15C95">
        <w:rPr>
          <w:rFonts w:cs="Tahoma"/>
          <w:b/>
        </w:rPr>
        <w:t>€ 2.000,00</w:t>
      </w:r>
      <w:r w:rsidRPr="00F15C95">
        <w:rPr>
          <w:rFonts w:cs="Tahoma"/>
        </w:rPr>
        <w:t xml:space="preserve"> per spese per interessi relativi all’anticipazione di cassa per €2.000,00;</w:t>
      </w:r>
    </w:p>
    <w:p w:rsidR="006520A0" w:rsidRPr="00295319" w:rsidRDefault="006520A0" w:rsidP="006520A0">
      <w:pPr>
        <w:widowControl w:val="0"/>
        <w:tabs>
          <w:tab w:val="left" w:pos="3686"/>
        </w:tabs>
        <w:spacing w:line="360" w:lineRule="auto"/>
        <w:rPr>
          <w:rFonts w:cs="Tahoma"/>
        </w:rPr>
      </w:pPr>
      <w:r w:rsidRPr="00295319">
        <w:rPr>
          <w:rFonts w:cs="Tahoma"/>
        </w:rPr>
        <w:t>Al Titolo I vengono inoltre iscritte le seguenti ulteriori spese:</w:t>
      </w:r>
    </w:p>
    <w:p w:rsidR="006520A0" w:rsidRPr="00295319" w:rsidRDefault="00295319" w:rsidP="006520A0">
      <w:pPr>
        <w:widowControl w:val="0"/>
        <w:shd w:val="clear" w:color="auto" w:fill="FFFFFF"/>
        <w:tabs>
          <w:tab w:val="left" w:pos="3686"/>
        </w:tabs>
        <w:spacing w:line="360" w:lineRule="auto"/>
        <w:rPr>
          <w:rFonts w:cs="Tahoma"/>
        </w:rPr>
      </w:pPr>
      <w:r w:rsidRPr="00295319">
        <w:rPr>
          <w:rFonts w:cs="Tahoma"/>
          <w:b/>
        </w:rPr>
        <w:t>€ 868.000</w:t>
      </w:r>
      <w:r w:rsidR="00F15C95" w:rsidRPr="00295319">
        <w:rPr>
          <w:rFonts w:cs="Tahoma"/>
        </w:rPr>
        <w:t>relative ai proventi CONAI 2018</w:t>
      </w:r>
      <w:r w:rsidR="006520A0" w:rsidRPr="00295319">
        <w:rPr>
          <w:rFonts w:cs="Tahoma"/>
        </w:rPr>
        <w:t>da restituire ai n.46 Comuni facenti parte dell’ex Cob Verbania;</w:t>
      </w:r>
    </w:p>
    <w:p w:rsidR="006520A0" w:rsidRPr="00295319" w:rsidRDefault="00295319" w:rsidP="006520A0">
      <w:pPr>
        <w:widowControl w:val="0"/>
        <w:shd w:val="clear" w:color="auto" w:fill="FFFFFF"/>
        <w:tabs>
          <w:tab w:val="left" w:pos="3686"/>
        </w:tabs>
        <w:spacing w:line="360" w:lineRule="auto"/>
        <w:rPr>
          <w:rFonts w:cs="Tahoma"/>
        </w:rPr>
      </w:pPr>
      <w:r w:rsidRPr="00295319">
        <w:rPr>
          <w:rFonts w:cs="Tahoma"/>
          <w:b/>
        </w:rPr>
        <w:t>€ 335.000</w:t>
      </w:r>
      <w:r w:rsidR="006520A0" w:rsidRPr="00295319">
        <w:rPr>
          <w:rFonts w:cs="Tahoma"/>
          <w:b/>
        </w:rPr>
        <w:t xml:space="preserve"> </w:t>
      </w:r>
      <w:r w:rsidR="006520A0" w:rsidRPr="00295319">
        <w:rPr>
          <w:rFonts w:cs="Tahoma"/>
        </w:rPr>
        <w:t xml:space="preserve">relative ai </w:t>
      </w:r>
      <w:r w:rsidR="00F15C95" w:rsidRPr="00295319">
        <w:rPr>
          <w:rFonts w:cs="Tahoma"/>
        </w:rPr>
        <w:t>preventivati proventi CONAI 2018</w:t>
      </w:r>
      <w:r w:rsidR="006520A0" w:rsidRPr="00295319">
        <w:rPr>
          <w:rFonts w:cs="Tahoma"/>
        </w:rPr>
        <w:t xml:space="preserve"> Comuni ex Cob Valle Ossola da restituire ai n. 30 Comuni facenti parte dell’ex Cob Valle Ossola e al ConSerVCO SpA a copertura delle spese di gestione impianto di trattamento di Domodossola;</w:t>
      </w:r>
    </w:p>
    <w:p w:rsidR="006520A0" w:rsidRPr="00295319" w:rsidRDefault="00295319" w:rsidP="006520A0">
      <w:pPr>
        <w:widowControl w:val="0"/>
        <w:tabs>
          <w:tab w:val="left" w:pos="3686"/>
        </w:tabs>
        <w:spacing w:line="360" w:lineRule="auto"/>
        <w:rPr>
          <w:rFonts w:cs="Tahoma"/>
        </w:rPr>
      </w:pPr>
      <w:r w:rsidRPr="00295319">
        <w:rPr>
          <w:rFonts w:cs="Tahoma"/>
          <w:b/>
        </w:rPr>
        <w:t>€ 123.300</w:t>
      </w:r>
      <w:r w:rsidR="006520A0" w:rsidRPr="00295319">
        <w:rPr>
          <w:rFonts w:cs="Tahoma"/>
          <w:b/>
        </w:rPr>
        <w:t xml:space="preserve"> </w:t>
      </w:r>
      <w:r w:rsidR="006520A0" w:rsidRPr="00295319">
        <w:rPr>
          <w:rFonts w:cs="Tahoma"/>
        </w:rPr>
        <w:t>relative all’IVA da versare sui proventi CONAI;</w:t>
      </w:r>
    </w:p>
    <w:p w:rsidR="006520A0" w:rsidRPr="00295319" w:rsidRDefault="006520A0" w:rsidP="006520A0">
      <w:pPr>
        <w:widowControl w:val="0"/>
        <w:tabs>
          <w:tab w:val="left" w:pos="3686"/>
        </w:tabs>
        <w:spacing w:line="360" w:lineRule="auto"/>
        <w:rPr>
          <w:rFonts w:cs="Tahoma"/>
          <w:b/>
          <w:u w:val="single"/>
        </w:rPr>
      </w:pPr>
      <w:r w:rsidRPr="00295319">
        <w:rPr>
          <w:rFonts w:cs="Tahoma"/>
          <w:b/>
          <w:u w:val="single"/>
        </w:rPr>
        <w:t>b) SPESE RELATIVE AI PIANI FINANZIARI DEI COMUNI IN REGIME TARI</w:t>
      </w:r>
    </w:p>
    <w:p w:rsidR="006520A0" w:rsidRPr="00295319" w:rsidRDefault="006520A0" w:rsidP="006520A0">
      <w:pPr>
        <w:widowControl w:val="0"/>
        <w:tabs>
          <w:tab w:val="left" w:pos="3686"/>
        </w:tabs>
        <w:spacing w:line="360" w:lineRule="auto"/>
        <w:rPr>
          <w:rFonts w:cs="Tahoma"/>
        </w:rPr>
      </w:pPr>
      <w:r w:rsidRPr="00295319">
        <w:rPr>
          <w:rFonts w:cs="Tahoma"/>
        </w:rPr>
        <w:t>Sono previste le spese legate ai piani economici finanziari dei Comuni in gestione consortile TARI, Stresa e Crevoladossola.</w:t>
      </w:r>
    </w:p>
    <w:p w:rsidR="006520A0" w:rsidRPr="00295319" w:rsidRDefault="006520A0" w:rsidP="006520A0">
      <w:pPr>
        <w:widowControl w:val="0"/>
        <w:tabs>
          <w:tab w:val="left" w:pos="3686"/>
        </w:tabs>
        <w:spacing w:line="360" w:lineRule="auto"/>
        <w:rPr>
          <w:rFonts w:cs="Tahoma"/>
          <w:b/>
          <w:u w:val="single"/>
        </w:rPr>
      </w:pPr>
      <w:r w:rsidRPr="00295319">
        <w:rPr>
          <w:rFonts w:cs="Tahoma"/>
          <w:b/>
          <w:u w:val="single"/>
        </w:rPr>
        <w:t>PIANO ECONOMICO FINANZIARIO TARI  DEL COMUNE DI STRESA</w:t>
      </w:r>
    </w:p>
    <w:p w:rsidR="006520A0" w:rsidRPr="00A72647" w:rsidRDefault="006520A0" w:rsidP="006520A0">
      <w:pPr>
        <w:widowControl w:val="0"/>
        <w:tabs>
          <w:tab w:val="left" w:pos="3686"/>
        </w:tabs>
        <w:spacing w:line="360" w:lineRule="auto"/>
        <w:rPr>
          <w:rFonts w:cs="Tahoma"/>
          <w:b/>
        </w:rPr>
      </w:pPr>
      <w:r w:rsidRPr="00A72647">
        <w:rPr>
          <w:rFonts w:cs="Tahoma"/>
        </w:rPr>
        <w:lastRenderedPageBreak/>
        <w:t xml:space="preserve">acquisto di beni di consumo per </w:t>
      </w:r>
      <w:r w:rsidR="00A72647" w:rsidRPr="00A72647">
        <w:rPr>
          <w:rFonts w:cs="Tahoma"/>
          <w:b/>
        </w:rPr>
        <w:t>€ 1.734,60</w:t>
      </w:r>
      <w:r w:rsidRPr="00A72647">
        <w:rPr>
          <w:rFonts w:cs="Tahoma"/>
        </w:rPr>
        <w:t>;</w:t>
      </w:r>
    </w:p>
    <w:p w:rsidR="006520A0" w:rsidRPr="00A72647" w:rsidRDefault="006520A0" w:rsidP="006520A0">
      <w:pPr>
        <w:widowControl w:val="0"/>
        <w:tabs>
          <w:tab w:val="left" w:pos="3686"/>
        </w:tabs>
        <w:spacing w:line="360" w:lineRule="auto"/>
        <w:rPr>
          <w:rFonts w:cs="Tahoma"/>
        </w:rPr>
      </w:pPr>
      <w:r w:rsidRPr="00A72647">
        <w:rPr>
          <w:rFonts w:cs="Tahoma"/>
        </w:rPr>
        <w:t xml:space="preserve">prestazioni di servizi (appalti – trattamento e smaltimento rifiuti – raccolta e trasporto – raccolta differenziata – spazzamento lavaggio strade e piazze – costi operatori di sportello, bollettazione, recupero crediti, manutenzione software ecc) per </w:t>
      </w:r>
      <w:r w:rsidR="00A72647" w:rsidRPr="00A72647">
        <w:rPr>
          <w:rFonts w:cs="Tahoma"/>
          <w:b/>
        </w:rPr>
        <w:t>€ 1.891.851,66</w:t>
      </w:r>
      <w:r w:rsidRPr="00A72647">
        <w:rPr>
          <w:rFonts w:cs="Tahoma"/>
        </w:rPr>
        <w:t>;</w:t>
      </w:r>
    </w:p>
    <w:p w:rsidR="006520A0" w:rsidRPr="00A72647" w:rsidRDefault="006520A0" w:rsidP="006520A0">
      <w:pPr>
        <w:widowControl w:val="0"/>
        <w:tabs>
          <w:tab w:val="left" w:pos="3686"/>
        </w:tabs>
        <w:spacing w:line="360" w:lineRule="auto"/>
        <w:rPr>
          <w:rFonts w:cs="Tahoma"/>
          <w:b/>
        </w:rPr>
      </w:pPr>
      <w:r w:rsidRPr="00A72647">
        <w:rPr>
          <w:rFonts w:cs="Tahoma"/>
        </w:rPr>
        <w:t xml:space="preserve">trasferimento a Comune di Stresa a titolo  Fondo IVA per </w:t>
      </w:r>
      <w:r w:rsidR="00A72647" w:rsidRPr="00A72647">
        <w:rPr>
          <w:rFonts w:cs="Tahoma"/>
          <w:b/>
        </w:rPr>
        <w:t>€4</w:t>
      </w:r>
      <w:r w:rsidRPr="00A72647">
        <w:rPr>
          <w:rFonts w:cs="Tahoma"/>
          <w:b/>
        </w:rPr>
        <w:t>0.000,00;</w:t>
      </w:r>
    </w:p>
    <w:p w:rsidR="006520A0" w:rsidRPr="00A72647" w:rsidRDefault="006520A0" w:rsidP="006520A0">
      <w:pPr>
        <w:widowControl w:val="0"/>
        <w:tabs>
          <w:tab w:val="left" w:pos="3686"/>
        </w:tabs>
        <w:spacing w:line="360" w:lineRule="auto"/>
        <w:rPr>
          <w:rFonts w:cs="Tahoma"/>
          <w:b/>
          <w:u w:val="single"/>
        </w:rPr>
      </w:pPr>
      <w:r w:rsidRPr="00A72647">
        <w:rPr>
          <w:rFonts w:cs="Tahoma"/>
          <w:b/>
          <w:u w:val="single"/>
        </w:rPr>
        <w:t>PIANO ECONOMICO FINANZIARIO TARI DEL COMUNE DI CREVOLADOSSOLA</w:t>
      </w:r>
    </w:p>
    <w:p w:rsidR="006520A0" w:rsidRPr="00A72647" w:rsidRDefault="006520A0" w:rsidP="006520A0">
      <w:pPr>
        <w:widowControl w:val="0"/>
        <w:tabs>
          <w:tab w:val="left" w:pos="3686"/>
        </w:tabs>
        <w:spacing w:line="360" w:lineRule="auto"/>
        <w:rPr>
          <w:rFonts w:cs="Tahoma"/>
          <w:b/>
        </w:rPr>
      </w:pPr>
      <w:r w:rsidRPr="00A72647">
        <w:rPr>
          <w:rFonts w:cs="Tahoma"/>
        </w:rPr>
        <w:t xml:space="preserve">acquisto di beni di consumo per </w:t>
      </w:r>
      <w:r w:rsidR="00A72647" w:rsidRPr="00A72647">
        <w:rPr>
          <w:rFonts w:cs="Tahoma"/>
          <w:b/>
        </w:rPr>
        <w:t>€ 3.111,00</w:t>
      </w:r>
      <w:r w:rsidRPr="00A72647">
        <w:rPr>
          <w:rFonts w:cs="Tahoma"/>
        </w:rPr>
        <w:t>;</w:t>
      </w:r>
    </w:p>
    <w:p w:rsidR="006520A0" w:rsidRPr="00A72647" w:rsidRDefault="006520A0" w:rsidP="006520A0">
      <w:pPr>
        <w:widowControl w:val="0"/>
        <w:tabs>
          <w:tab w:val="left" w:pos="3686"/>
        </w:tabs>
        <w:spacing w:line="360" w:lineRule="auto"/>
        <w:rPr>
          <w:rFonts w:cs="Tahoma"/>
          <w:b/>
        </w:rPr>
      </w:pPr>
      <w:r w:rsidRPr="00A72647">
        <w:rPr>
          <w:rFonts w:cs="Tahoma"/>
        </w:rPr>
        <w:t xml:space="preserve">prestazioni di servizi (appalti – trattamento e smaltimento rifiuti – raccolta e trasporto – raccolta differenziata – spazzamento lavaggio strade e piazze – costi operatori di sportello, bollettazione, recupero crediti, manutenzione software ecc) per </w:t>
      </w:r>
      <w:r w:rsidR="00A72647" w:rsidRPr="00A72647">
        <w:rPr>
          <w:rFonts w:cs="Tahoma"/>
          <w:b/>
        </w:rPr>
        <w:t>€ 6.951.194.93</w:t>
      </w:r>
      <w:r w:rsidRPr="00A72647">
        <w:rPr>
          <w:rFonts w:cs="Tahoma"/>
        </w:rPr>
        <w:t xml:space="preserve">;interessi passivi e oneri finanziari diversi (anticipazioni di cassa) per  </w:t>
      </w:r>
      <w:r w:rsidRPr="00A72647">
        <w:rPr>
          <w:rFonts w:cs="Tahoma"/>
          <w:color w:val="FF0000"/>
        </w:rPr>
        <w:t xml:space="preserve"> </w:t>
      </w:r>
      <w:r w:rsidR="00A72647" w:rsidRPr="00A72647">
        <w:rPr>
          <w:rFonts w:cs="Tahoma"/>
          <w:b/>
        </w:rPr>
        <w:t>€ 1</w:t>
      </w:r>
      <w:r w:rsidRPr="00A72647">
        <w:rPr>
          <w:rFonts w:cs="Tahoma"/>
          <w:b/>
        </w:rPr>
        <w:t xml:space="preserve">.000,0 </w:t>
      </w:r>
      <w:r w:rsidRPr="00A72647">
        <w:rPr>
          <w:rFonts w:cs="Tahoma"/>
        </w:rPr>
        <w:t xml:space="preserve">trasferimento a Comune di Crevoladossola a titolo di Fondo IVA per </w:t>
      </w:r>
      <w:r w:rsidR="00A72647" w:rsidRPr="00A72647">
        <w:rPr>
          <w:rFonts w:cs="Tahoma"/>
          <w:b/>
        </w:rPr>
        <w:t>€15</w:t>
      </w:r>
      <w:r w:rsidRPr="00A72647">
        <w:rPr>
          <w:rFonts w:cs="Tahoma"/>
          <w:b/>
        </w:rPr>
        <w:t>.000,00;</w:t>
      </w:r>
    </w:p>
    <w:p w:rsidR="006520A0" w:rsidRPr="00A72647" w:rsidRDefault="006520A0" w:rsidP="006520A0">
      <w:pPr>
        <w:jc w:val="left"/>
      </w:pPr>
      <w:r w:rsidRPr="00A72647">
        <w:t>Nessuna spesa al Titolo II e III.</w:t>
      </w:r>
    </w:p>
    <w:p w:rsidR="006520A0" w:rsidRPr="00A72647" w:rsidRDefault="006520A0" w:rsidP="006520A0">
      <w:pPr>
        <w:jc w:val="left"/>
      </w:pPr>
    </w:p>
    <w:p w:rsidR="006520A0" w:rsidRPr="00AB0B9E" w:rsidRDefault="006520A0" w:rsidP="006520A0">
      <w:pPr>
        <w:widowControl w:val="0"/>
        <w:tabs>
          <w:tab w:val="left" w:pos="3686"/>
        </w:tabs>
        <w:spacing w:line="360" w:lineRule="auto"/>
        <w:rPr>
          <w:rFonts w:cs="Tahoma"/>
        </w:rPr>
      </w:pPr>
      <w:r w:rsidRPr="00A72647">
        <w:t xml:space="preserve">            Al Titolo IV “Rimborso prestiti” viene iscritta per l’a</w:t>
      </w:r>
      <w:r w:rsidR="00A72647" w:rsidRPr="00A72647">
        <w:t>nno 2018 l’importo di €34.610,00</w:t>
      </w:r>
      <w:r w:rsidRPr="00A72647">
        <w:t xml:space="preserve"> </w:t>
      </w:r>
      <w:r w:rsidRPr="00A72647">
        <w:rPr>
          <w:rFonts w:cs="Tahoma"/>
        </w:rPr>
        <w:t>quale rimborso quota capitale per i mutui già assunti dal Consorzio Azienda CONSERVCO trasferiti al Cob di Verbania ed ora al COUB VCO ed ancora in regime di ammortamento; come per gli importi passivi sopra descritti trattasi di investimenti realizzati presso gli impianti di smaltimento in Mergozzo prima della costituzione del Consorzio Unico di bacino.</w:t>
      </w:r>
      <w:r w:rsidRPr="00AB0B9E">
        <w:rPr>
          <w:rFonts w:cs="Tahoma"/>
        </w:rPr>
        <w:t xml:space="preserve"> </w:t>
      </w:r>
    </w:p>
    <w:p w:rsidR="006520A0" w:rsidRPr="00AB0B9E" w:rsidRDefault="006520A0" w:rsidP="006520A0">
      <w:pPr>
        <w:jc w:val="left"/>
      </w:pPr>
      <w:r w:rsidRPr="00AB0B9E">
        <w:br w:type="page"/>
      </w:r>
    </w:p>
    <w:p w:rsidR="006520A0" w:rsidRDefault="006520A0" w:rsidP="00127315"/>
    <w:p w:rsidR="006520A0" w:rsidRDefault="006520A0" w:rsidP="00127315"/>
    <w:p w:rsidR="00C277D9" w:rsidRDefault="00C277D9">
      <w:pPr>
        <w:jc w:val="left"/>
      </w:pPr>
    </w:p>
    <w:tbl>
      <w:tblPr>
        <w:tblStyle w:val="Grigliachiara-Colore5"/>
        <w:tblW w:w="5000" w:type="pct"/>
        <w:tblLook w:val="0680" w:firstRow="0" w:lastRow="0" w:firstColumn="1" w:lastColumn="0" w:noHBand="1" w:noVBand="1"/>
      </w:tblPr>
      <w:tblGrid>
        <w:gridCol w:w="14502"/>
      </w:tblGrid>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t>Missione: 01 - Servizi istituzionali, generali e di gestione</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t>Programma: 01 - Organi istituzionali</w:t>
            </w:r>
          </w:p>
        </w:tc>
      </w:tr>
    </w:tbl>
    <w:p w:rsidR="00816AF2" w:rsidRDefault="00816AF2"/>
    <w:tbl>
      <w:tblPr>
        <w:tblStyle w:val="Grigliachiara-Colore5"/>
        <w:tblW w:w="5000" w:type="auto"/>
        <w:tblLook w:val="0680" w:firstRow="0" w:lastRow="0" w:firstColumn="1" w:lastColumn="0" w:noHBand="1" w:noVBand="1"/>
      </w:tblPr>
      <w:tblGrid>
        <w:gridCol w:w="3975"/>
        <w:gridCol w:w="10485"/>
      </w:tblGrid>
      <w:tr w:rsidR="00816AF2" w:rsidTr="00816AF2">
        <w:tc>
          <w:tcPr>
            <w:cnfStyle w:val="001000000000" w:firstRow="0" w:lastRow="0" w:firstColumn="1" w:lastColumn="0" w:oddVBand="0" w:evenVBand="0" w:oddHBand="0" w:evenHBand="0" w:firstRowFirstColumn="0" w:firstRowLastColumn="0" w:lastRowFirstColumn="0" w:lastRowLastColumn="0"/>
            <w:tcW w:w="3975" w:type="dxa"/>
          </w:tcPr>
          <w:p w:rsidR="00816AF2" w:rsidRDefault="00A05F67">
            <w:pPr>
              <w:jc w:val="center"/>
            </w:pPr>
            <w:r>
              <w:rPr>
                <w:rFonts w:ascii="Calibri" w:hAnsi="Calibri" w:cs="Calibri"/>
                <w:sz w:val="24"/>
                <w:szCs w:val="24"/>
              </w:rPr>
              <w:t>Sotto-tema Strategico</w:t>
            </w:r>
          </w:p>
        </w:tc>
        <w:tc>
          <w:tcPr>
            <w:tcW w:w="1048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Organizzazione e funzionamento dei servizi e degli uffici comunali</w:t>
            </w:r>
          </w:p>
        </w:tc>
      </w:tr>
    </w:tbl>
    <w:p w:rsidR="00816AF2" w:rsidRDefault="00816AF2"/>
    <w:tbl>
      <w:tblPr>
        <w:tblStyle w:val="Grigliachiara-Colore5"/>
        <w:tblW w:w="5000" w:type="auto"/>
        <w:tblLook w:val="0680" w:firstRow="0" w:lastRow="0" w:firstColumn="1" w:lastColumn="0" w:noHBand="1" w:noVBand="1"/>
      </w:tblPr>
      <w:tblGrid>
        <w:gridCol w:w="1848"/>
        <w:gridCol w:w="1772"/>
        <w:gridCol w:w="1772"/>
        <w:gridCol w:w="2104"/>
        <w:gridCol w:w="2023"/>
        <w:gridCol w:w="1661"/>
        <w:gridCol w:w="1661"/>
        <w:gridCol w:w="1661"/>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INDENNITA' E COMPENSI AMMINISTRATORI E REVISORE</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9.600,00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5.400,00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5.400,00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5.400,00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tbl>
      <w:tblPr>
        <w:tblStyle w:val="Grigliachiara-Colore5"/>
        <w:tblW w:w="5000" w:type="pct"/>
        <w:tblLook w:val="0400" w:firstRow="0" w:lastRow="0" w:firstColumn="0" w:lastColumn="0" w:noHBand="0" w:noVBand="1"/>
      </w:tblPr>
      <w:tblGrid>
        <w:gridCol w:w="548"/>
        <w:gridCol w:w="7892"/>
        <w:gridCol w:w="4118"/>
        <w:gridCol w:w="1944"/>
      </w:tblGrid>
      <w:tr w:rsidR="00816AF2" w:rsidTr="00816AF2">
        <w:trPr>
          <w:cnfStyle w:val="000000100000" w:firstRow="0" w:lastRow="0" w:firstColumn="0" w:lastColumn="0" w:oddVBand="0" w:evenVBand="0" w:oddHBand="1" w:evenHBand="0" w:firstRowFirstColumn="0" w:firstRowLastColumn="0" w:lastRowFirstColumn="0" w:lastRowLastColumn="0"/>
        </w:trPr>
        <w:tc>
          <w:tcPr>
            <w:tcW w:w="570" w:type="dxa"/>
            <w:shd w:val="clear" w:color="auto" w:fill="FFFFFF"/>
          </w:tcPr>
          <w:p w:rsidR="00816AF2" w:rsidRDefault="00A05F67">
            <w:pPr>
              <w:jc w:val="center"/>
            </w:pPr>
            <w:r>
              <w:rPr>
                <w:rFonts w:ascii="Calibri" w:hAnsi="Calibri" w:cs="Calibri"/>
                <w:i/>
                <w:sz w:val="20"/>
                <w:szCs w:val="20"/>
              </w:rPr>
              <w:t>N°</w:t>
            </w:r>
          </w:p>
        </w:tc>
        <w:tc>
          <w:tcPr>
            <w:tcW w:w="9015" w:type="dxa"/>
            <w:shd w:val="clear" w:color="auto" w:fill="FFFFFF"/>
          </w:tcPr>
          <w:p w:rsidR="00816AF2" w:rsidRDefault="00A05F67">
            <w:pPr>
              <w:jc w:val="center"/>
            </w:pPr>
            <w:r>
              <w:rPr>
                <w:rFonts w:ascii="Calibri" w:hAnsi="Calibri" w:cs="Calibri"/>
                <w:i/>
                <w:sz w:val="20"/>
                <w:szCs w:val="20"/>
              </w:rPr>
              <w:t>Obiettivi Macro</w:t>
            </w:r>
          </w:p>
        </w:tc>
        <w:tc>
          <w:tcPr>
            <w:tcW w:w="4590" w:type="dxa"/>
            <w:shd w:val="clear" w:color="auto" w:fill="FFFFFF"/>
          </w:tcPr>
          <w:p w:rsidR="00816AF2" w:rsidRDefault="00A05F67">
            <w:pPr>
              <w:jc w:val="center"/>
            </w:pPr>
            <w:r>
              <w:rPr>
                <w:rFonts w:ascii="Calibri" w:hAnsi="Calibri" w:cs="Calibri"/>
                <w:i/>
                <w:sz w:val="20"/>
                <w:szCs w:val="20"/>
              </w:rPr>
              <w:t>Stakeholder</w:t>
            </w:r>
          </w:p>
        </w:tc>
        <w:tc>
          <w:tcPr>
            <w:tcW w:w="2130" w:type="dxa"/>
            <w:shd w:val="clear" w:color="auto" w:fill="FFFFFF"/>
          </w:tcPr>
          <w:p w:rsidR="00816AF2" w:rsidRDefault="00A05F67">
            <w:pPr>
              <w:jc w:val="center"/>
            </w:pPr>
            <w:r>
              <w:rPr>
                <w:rFonts w:ascii="Calibri" w:hAnsi="Calibri" w:cs="Calibri"/>
                <w:i/>
                <w:sz w:val="20"/>
                <w:szCs w:val="20"/>
              </w:rPr>
              <w:t>Durata</w:t>
            </w:r>
          </w:p>
        </w:tc>
      </w:tr>
    </w:tbl>
    <w:p w:rsidR="00816AF2" w:rsidRDefault="00816AF2"/>
    <w:tbl>
      <w:tblPr>
        <w:tblStyle w:val="Grigliachiara-Colore5"/>
        <w:tblW w:w="5000" w:type="auto"/>
        <w:tblLook w:val="0680" w:firstRow="0" w:lastRow="0" w:firstColumn="1" w:lastColumn="0" w:noHBand="1" w:noVBand="1"/>
      </w:tblPr>
      <w:tblGrid>
        <w:gridCol w:w="2994"/>
        <w:gridCol w:w="1701"/>
        <w:gridCol w:w="1701"/>
        <w:gridCol w:w="1701"/>
        <w:gridCol w:w="1701"/>
        <w:gridCol w:w="1568"/>
        <w:gridCol w:w="1568"/>
        <w:gridCol w:w="1568"/>
      </w:tblGrid>
      <w:tr w:rsidR="00816AF2" w:rsidTr="00816AF2">
        <w:tc>
          <w:tcPr>
            <w:cnfStyle w:val="001000000000" w:firstRow="0" w:lastRow="0" w:firstColumn="1" w:lastColumn="0" w:oddVBand="0" w:evenVBand="0" w:oddHBand="0" w:evenHBand="0" w:firstRowFirstColumn="0" w:firstRowLastColumn="0" w:lastRowFirstColumn="0" w:lastRowLastColumn="0"/>
            <w:tcW w:w="3975" w:type="dxa"/>
            <w:vMerge w:val="restart"/>
          </w:tcPr>
          <w:p w:rsidR="00816AF2" w:rsidRDefault="00A05F67">
            <w:pPr>
              <w:jc w:val="center"/>
            </w:pPr>
            <w:r>
              <w:rPr>
                <w:rFonts w:ascii="Calibri" w:hAnsi="Calibri" w:cs="Calibri"/>
                <w:i/>
                <w:sz w:val="24"/>
                <w:szCs w:val="24"/>
              </w:rPr>
              <w:t>Totale Spese Previste - Organizzazione e funzionamento dei servizi e degli uffici comunali</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vMerge/>
          </w:tcPr>
          <w:p w:rsidR="00816AF2" w:rsidRDefault="00816AF2"/>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9.600,00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5.400,00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5.400,00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5.400,00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4158B0" w:rsidRDefault="004158B0" w:rsidP="004158B0">
      <w:r>
        <w:rPr>
          <w:b/>
        </w:rPr>
        <w:t xml:space="preserve">Descrizione generale: </w:t>
      </w:r>
      <w:r>
        <w:t>attività amministrative a supporto dell’operato degli Organi Istituzionali dell’Ente. Il programma comprende tutte le spese relative agli organi dell’Ente quali i rimborsi viaggio agli Amministratori, il compenso al Revisore e le spese perle sedute di Assemblea Consortile quali affitto sala ed impianto di amplificazione.</w:t>
      </w:r>
    </w:p>
    <w:p w:rsidR="004158B0" w:rsidRDefault="004158B0" w:rsidP="004158B0">
      <w:r>
        <w:rPr>
          <w:b/>
        </w:rPr>
        <w:t xml:space="preserve">Finalità da conseguire: </w:t>
      </w:r>
      <w:r>
        <w:t>contenimento delle spese.</w:t>
      </w:r>
      <w:r>
        <w:br w:type="page"/>
      </w:r>
    </w:p>
    <w:p w:rsidR="00816AF2" w:rsidRDefault="00A05F67">
      <w:r>
        <w:lastRenderedPageBreak/>
        <w:br w:type="page"/>
      </w:r>
    </w:p>
    <w:tbl>
      <w:tblPr>
        <w:tblStyle w:val="Grigliachiara-Colore5"/>
        <w:tblW w:w="5000" w:type="pct"/>
        <w:tblLook w:val="0680" w:firstRow="0" w:lastRow="0" w:firstColumn="1" w:lastColumn="0" w:noHBand="1" w:noVBand="1"/>
      </w:tblPr>
      <w:tblGrid>
        <w:gridCol w:w="14502"/>
      </w:tblGrid>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rsidP="004158B0">
            <w:pPr>
              <w:jc w:val="center"/>
            </w:pPr>
            <w:r>
              <w:rPr>
                <w:rFonts w:ascii="Calibri" w:hAnsi="Calibri" w:cs="Calibri"/>
                <w:sz w:val="24"/>
                <w:szCs w:val="24"/>
              </w:rPr>
              <w:lastRenderedPageBreak/>
              <w:t>Missione: 01 - Servizi istituzionali, generali e di gestione</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t>Programma: 02 - Segreteria generale</w:t>
            </w:r>
          </w:p>
        </w:tc>
      </w:tr>
    </w:tbl>
    <w:p w:rsidR="00816AF2" w:rsidRDefault="00816AF2"/>
    <w:tbl>
      <w:tblPr>
        <w:tblStyle w:val="Grigliachiara-Colore5"/>
        <w:tblW w:w="5000" w:type="auto"/>
        <w:tblLook w:val="0680" w:firstRow="0" w:lastRow="0" w:firstColumn="1" w:lastColumn="0" w:noHBand="1" w:noVBand="1"/>
      </w:tblPr>
      <w:tblGrid>
        <w:gridCol w:w="3975"/>
        <w:gridCol w:w="10485"/>
      </w:tblGrid>
      <w:tr w:rsidR="00816AF2" w:rsidTr="00816AF2">
        <w:tc>
          <w:tcPr>
            <w:cnfStyle w:val="001000000000" w:firstRow="0" w:lastRow="0" w:firstColumn="1" w:lastColumn="0" w:oddVBand="0" w:evenVBand="0" w:oddHBand="0" w:evenHBand="0" w:firstRowFirstColumn="0" w:firstRowLastColumn="0" w:lastRowFirstColumn="0" w:lastRowLastColumn="0"/>
            <w:tcW w:w="3975" w:type="dxa"/>
          </w:tcPr>
          <w:p w:rsidR="00816AF2" w:rsidRDefault="00A05F67">
            <w:pPr>
              <w:jc w:val="center"/>
            </w:pPr>
            <w:r>
              <w:rPr>
                <w:rFonts w:ascii="Calibri" w:hAnsi="Calibri" w:cs="Calibri"/>
                <w:sz w:val="24"/>
                <w:szCs w:val="24"/>
              </w:rPr>
              <w:t>Sotto-tema Strategico</w:t>
            </w:r>
          </w:p>
        </w:tc>
        <w:tc>
          <w:tcPr>
            <w:tcW w:w="1048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Organizzazione e funzionamento dei servizi e degli uffici comunali</w:t>
            </w:r>
          </w:p>
        </w:tc>
      </w:tr>
    </w:tbl>
    <w:p w:rsidR="00816AF2" w:rsidRDefault="00816AF2"/>
    <w:tbl>
      <w:tblPr>
        <w:tblStyle w:val="Grigliachiara-Colore5"/>
        <w:tblW w:w="5000" w:type="auto"/>
        <w:tblLook w:val="0680" w:firstRow="0" w:lastRow="0" w:firstColumn="1" w:lastColumn="0" w:noHBand="1" w:noVBand="1"/>
      </w:tblPr>
      <w:tblGrid>
        <w:gridCol w:w="1824"/>
        <w:gridCol w:w="1823"/>
        <w:gridCol w:w="1823"/>
        <w:gridCol w:w="2145"/>
        <w:gridCol w:w="2006"/>
        <w:gridCol w:w="1627"/>
        <w:gridCol w:w="1627"/>
        <w:gridCol w:w="1627"/>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RETRIBUZIONE LOR</w:t>
            </w:r>
            <w:r w:rsidR="001D4783">
              <w:rPr>
                <w:rFonts w:ascii="Calibri" w:hAnsi="Calibri" w:cs="Calibri"/>
                <w:sz w:val="24"/>
                <w:szCs w:val="24"/>
              </w:rPr>
              <w:t>DE PERSONALE AMMINISTRATIVO/CONTABILE COMPRESO SEGRETARIO E DIRETTORE</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215.757,47</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206.000,00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205.900,00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205.800,00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1D4783" w:rsidRDefault="001D4783" w:rsidP="001D4783">
      <w:r>
        <w:rPr>
          <w:b/>
        </w:rPr>
        <w:t xml:space="preserve">Descrizione generale: </w:t>
      </w:r>
      <w:r>
        <w:t>attività amministrative a supporto dell’operato degli Organi Istituzionali dell’Ente. Il programma comprende tutte le spese relative agli organi dell’Ente quali i rimborsi viaggio agli Amministratori, il compenso al Revisore e le spese perle sedute di Assemblea Consortile quali affitto sala ed impianto di amplificazione.</w:t>
      </w:r>
    </w:p>
    <w:p w:rsidR="001D4783" w:rsidRDefault="001D4783" w:rsidP="001D4783">
      <w:r>
        <w:rPr>
          <w:b/>
        </w:rPr>
        <w:t xml:space="preserve">Finalità da conseguire: </w:t>
      </w:r>
      <w:r>
        <w:t>contenimento delle spese.</w:t>
      </w:r>
      <w:r>
        <w:br w:type="page"/>
      </w:r>
    </w:p>
    <w:p w:rsidR="001D4783" w:rsidRDefault="001D4783"/>
    <w:p w:rsidR="00816AF2" w:rsidRDefault="00816AF2"/>
    <w:tbl>
      <w:tblPr>
        <w:tblStyle w:val="Grigliachiara-Colore5"/>
        <w:tblW w:w="5000" w:type="auto"/>
        <w:tblLook w:val="0680" w:firstRow="0" w:lastRow="0" w:firstColumn="1" w:lastColumn="0" w:noHBand="1" w:noVBand="1"/>
      </w:tblPr>
      <w:tblGrid>
        <w:gridCol w:w="1848"/>
        <w:gridCol w:w="1772"/>
        <w:gridCol w:w="1772"/>
        <w:gridCol w:w="2104"/>
        <w:gridCol w:w="2023"/>
        <w:gridCol w:w="1661"/>
        <w:gridCol w:w="1661"/>
        <w:gridCol w:w="1661"/>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CANCELLERIA/STAMPATI MATERIALE VARIO DI UFFICIO</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6.324,94</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6.000,00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CD2865" w:rsidRPr="008D77EA" w:rsidRDefault="00CD2865" w:rsidP="00CD2865">
      <w:r w:rsidRPr="008D77EA">
        <w:rPr>
          <w:b/>
        </w:rPr>
        <w:t xml:space="preserve">Descrizione generale: </w:t>
      </w:r>
      <w:r>
        <w:t>a</w:t>
      </w:r>
      <w:r w:rsidRPr="008D77EA">
        <w:t>cquisto beni di consumo per il funzionamento della struttura.</w:t>
      </w:r>
    </w:p>
    <w:p w:rsidR="00816AF2" w:rsidRDefault="00CD2865">
      <w:r w:rsidRPr="008D77EA">
        <w:rPr>
          <w:b/>
        </w:rPr>
        <w:t xml:space="preserve">Finalità da conseguire: </w:t>
      </w:r>
      <w:r w:rsidRPr="008D77EA">
        <w:t>contenimento spese.</w:t>
      </w:r>
    </w:p>
    <w:p w:rsidR="00CD2865" w:rsidRDefault="00CD2865"/>
    <w:tbl>
      <w:tblPr>
        <w:tblStyle w:val="Grigliachiara-Colore5"/>
        <w:tblW w:w="5000" w:type="auto"/>
        <w:tblLook w:val="0680" w:firstRow="0" w:lastRow="0" w:firstColumn="1" w:lastColumn="0" w:noHBand="1" w:noVBand="1"/>
      </w:tblPr>
      <w:tblGrid>
        <w:gridCol w:w="1824"/>
        <w:gridCol w:w="1823"/>
        <w:gridCol w:w="1823"/>
        <w:gridCol w:w="2145"/>
        <w:gridCol w:w="2006"/>
        <w:gridCol w:w="1627"/>
        <w:gridCol w:w="1627"/>
        <w:gridCol w:w="1627"/>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PRESTAZIONI DI SERVIZIO PER FUNZIONI GENERALI DI AMMINISTRAZIONE</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154.787,78</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118.000,00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117.000,00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117.000,00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CD2865" w:rsidRPr="004E7565" w:rsidRDefault="00CD2865" w:rsidP="00CD2865">
      <w:r w:rsidRPr="004E7565">
        <w:rPr>
          <w:b/>
        </w:rPr>
        <w:t>Descrizione generale:</w:t>
      </w:r>
      <w:r>
        <w:t xml:space="preserve"> i</w:t>
      </w:r>
      <w:r w:rsidRPr="004E7565">
        <w:t>l programma comprende tutte le spese relative alla gestione amministrativa e contabile dell’Ente. Rientrano pertanto tutte le spese relative ai costi di funzionamento della struttura quali canoni utenze (telefonica ecc…), manutenzione ed aggiornamenti software, incarichi professionali (gestione paghe, consulenza fiscale), noleggi, riparazioni beni mobili ecc….. L’area monitora il livello dei costi generali ed interviene attivamente ai f</w:t>
      </w:r>
      <w:r>
        <w:t>ini del contenimento dei costi, così come le spese per le prestazione per lavoro interinale di un operatrice livello B3 che sostituirà la dipendente amministrativa C2 assente per maternità.</w:t>
      </w:r>
    </w:p>
    <w:p w:rsidR="00CD2865" w:rsidRPr="004E7565" w:rsidRDefault="00CD2865" w:rsidP="00CD2865">
      <w:pPr>
        <w:widowControl w:val="0"/>
        <w:tabs>
          <w:tab w:val="left" w:pos="3686"/>
        </w:tabs>
        <w:spacing w:line="360" w:lineRule="auto"/>
        <w:rPr>
          <w:rFonts w:cs="Tahoma"/>
        </w:rPr>
      </w:pPr>
      <w:r>
        <w:rPr>
          <w:rFonts w:cs="Tahoma"/>
        </w:rPr>
        <w:t>E’ da segnalare che sono comprese per €20.000,00 le spese che il Consorzio dovrà sostenere per la gestione residui TIA del Comune di Verbania (spese postali invio atti giudiziari) che vengono rimborsati in toto dal Comune di Verbania con una maggiorazione di apri importi applicata sulla quota consortile a carico dello stesso.</w:t>
      </w:r>
    </w:p>
    <w:p w:rsidR="00CD2865" w:rsidRPr="004E7565" w:rsidRDefault="00CD2865" w:rsidP="00CD2865">
      <w:r w:rsidRPr="004E7565">
        <w:rPr>
          <w:b/>
        </w:rPr>
        <w:t xml:space="preserve">Finalità da conseguire: </w:t>
      </w:r>
      <w:r w:rsidRPr="004E7565">
        <w:t>contenimento spese.</w:t>
      </w:r>
    </w:p>
    <w:p w:rsidR="00CD2865" w:rsidRDefault="00CD2865"/>
    <w:p w:rsidR="00816AF2" w:rsidRDefault="00816AF2"/>
    <w:tbl>
      <w:tblPr>
        <w:tblStyle w:val="Grigliachiara-Colore5"/>
        <w:tblW w:w="5000" w:type="auto"/>
        <w:tblLook w:val="0680" w:firstRow="0" w:lastRow="0" w:firstColumn="1" w:lastColumn="0" w:noHBand="1" w:noVBand="1"/>
      </w:tblPr>
      <w:tblGrid>
        <w:gridCol w:w="1848"/>
        <w:gridCol w:w="1772"/>
        <w:gridCol w:w="1772"/>
        <w:gridCol w:w="2104"/>
        <w:gridCol w:w="2023"/>
        <w:gridCol w:w="1661"/>
        <w:gridCol w:w="1661"/>
        <w:gridCol w:w="1661"/>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UTILIZZO SEDE</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8.400,00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4.200,00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4.200,00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4.200,00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337282" w:rsidRPr="00E73896" w:rsidRDefault="00337282" w:rsidP="00337282">
      <w:r w:rsidRPr="00E73896">
        <w:rPr>
          <w:b/>
        </w:rPr>
        <w:t>Descrizione generale:</w:t>
      </w:r>
      <w:r>
        <w:t xml:space="preserve"> r</w:t>
      </w:r>
      <w:r w:rsidRPr="00E73896">
        <w:t>imborso forfettario a ConSerVCO SpA dei costi di utilizzo della sede di Via Olanda.</w:t>
      </w:r>
    </w:p>
    <w:p w:rsidR="00337282" w:rsidRPr="00E73896" w:rsidRDefault="00337282" w:rsidP="00337282">
      <w:r w:rsidRPr="00E73896">
        <w:rPr>
          <w:b/>
        </w:rPr>
        <w:t xml:space="preserve">Finalità da conseguire: </w:t>
      </w:r>
      <w:r w:rsidRPr="00E73896">
        <w:t>mantenimento della struttura per quanto compete al comodatario.</w:t>
      </w:r>
    </w:p>
    <w:p w:rsidR="00816AF2" w:rsidRDefault="00816AF2"/>
    <w:tbl>
      <w:tblPr>
        <w:tblStyle w:val="Grigliachiara-Colore5"/>
        <w:tblW w:w="5000" w:type="auto"/>
        <w:tblLook w:val="0680" w:firstRow="0" w:lastRow="0" w:firstColumn="1" w:lastColumn="0" w:noHBand="1" w:noVBand="1"/>
      </w:tblPr>
      <w:tblGrid>
        <w:gridCol w:w="1834"/>
        <w:gridCol w:w="1797"/>
        <w:gridCol w:w="1797"/>
        <w:gridCol w:w="2124"/>
        <w:gridCol w:w="2015"/>
        <w:gridCol w:w="1645"/>
        <w:gridCol w:w="1645"/>
        <w:gridCol w:w="1645"/>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IRAP SU STIPENDI PERSONALE E SEGRETARIO</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13.300,00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13.300,00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13.200,00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13.100,00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337282" w:rsidRPr="00AE3115" w:rsidRDefault="00337282" w:rsidP="00337282">
      <w:r w:rsidRPr="00AE3115">
        <w:rPr>
          <w:b/>
        </w:rPr>
        <w:t>Descrizione generale:</w:t>
      </w:r>
      <w:r w:rsidRPr="00AE3115">
        <w:t xml:space="preserve"> IRAP su personale.</w:t>
      </w:r>
    </w:p>
    <w:p w:rsidR="00816AF2" w:rsidRDefault="00816AF2"/>
    <w:tbl>
      <w:tblPr>
        <w:tblStyle w:val="Grigliachiara-Colore5"/>
        <w:tblW w:w="5000" w:type="auto"/>
        <w:tblLook w:val="0680" w:firstRow="0" w:lastRow="0" w:firstColumn="1" w:lastColumn="0" w:noHBand="1" w:noVBand="1"/>
      </w:tblPr>
      <w:tblGrid>
        <w:gridCol w:w="2928"/>
        <w:gridCol w:w="1755"/>
        <w:gridCol w:w="1755"/>
        <w:gridCol w:w="1755"/>
        <w:gridCol w:w="1755"/>
        <w:gridCol w:w="1518"/>
        <w:gridCol w:w="1518"/>
        <w:gridCol w:w="1518"/>
      </w:tblGrid>
      <w:tr w:rsidR="00816AF2" w:rsidTr="00816AF2">
        <w:tc>
          <w:tcPr>
            <w:cnfStyle w:val="001000000000" w:firstRow="0" w:lastRow="0" w:firstColumn="1" w:lastColumn="0" w:oddVBand="0" w:evenVBand="0" w:oddHBand="0" w:evenHBand="0" w:firstRowFirstColumn="0" w:firstRowLastColumn="0" w:lastRowFirstColumn="0" w:lastRowLastColumn="0"/>
            <w:tcW w:w="3975" w:type="dxa"/>
            <w:vMerge w:val="restart"/>
          </w:tcPr>
          <w:p w:rsidR="00816AF2" w:rsidRDefault="00A05F67">
            <w:pPr>
              <w:jc w:val="center"/>
            </w:pPr>
            <w:r>
              <w:rPr>
                <w:rFonts w:ascii="Calibri" w:hAnsi="Calibri" w:cs="Calibri"/>
                <w:i/>
                <w:sz w:val="24"/>
                <w:szCs w:val="24"/>
              </w:rPr>
              <w:t>Totale Spese Previste - Organizzazione e funzionamento dei servizi e degli uffici comunali</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vMerge/>
          </w:tcPr>
          <w:p w:rsidR="00816AF2" w:rsidRDefault="00816AF2"/>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398.570,19</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347.500,00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345.300,00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345.100,00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816AF2" w:rsidRDefault="00A05F67">
      <w:r>
        <w:br w:type="page"/>
      </w:r>
    </w:p>
    <w:tbl>
      <w:tblPr>
        <w:tblStyle w:val="Grigliachiara-Colore5"/>
        <w:tblW w:w="5000" w:type="pct"/>
        <w:tblLook w:val="0680" w:firstRow="0" w:lastRow="0" w:firstColumn="1" w:lastColumn="0" w:noHBand="1" w:noVBand="1"/>
      </w:tblPr>
      <w:tblGrid>
        <w:gridCol w:w="14502"/>
      </w:tblGrid>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lastRenderedPageBreak/>
              <w:t>Missione: 09 - Sviluppo sostenibile e tutela del territorio e dell'ambiente</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t>Programma: 02 - Tutela, valorizzazione e recupero ambientale</w:t>
            </w:r>
          </w:p>
        </w:tc>
      </w:tr>
    </w:tbl>
    <w:p w:rsidR="00816AF2" w:rsidRDefault="00816AF2"/>
    <w:tbl>
      <w:tblPr>
        <w:tblStyle w:val="Grigliachiara-Colore5"/>
        <w:tblW w:w="5000" w:type="auto"/>
        <w:tblLook w:val="0680" w:firstRow="0" w:lastRow="0" w:firstColumn="1" w:lastColumn="0" w:noHBand="1" w:noVBand="1"/>
      </w:tblPr>
      <w:tblGrid>
        <w:gridCol w:w="3975"/>
        <w:gridCol w:w="10485"/>
      </w:tblGrid>
      <w:tr w:rsidR="00816AF2" w:rsidTr="00816AF2">
        <w:tc>
          <w:tcPr>
            <w:cnfStyle w:val="001000000000" w:firstRow="0" w:lastRow="0" w:firstColumn="1" w:lastColumn="0" w:oddVBand="0" w:evenVBand="0" w:oddHBand="0" w:evenHBand="0" w:firstRowFirstColumn="0" w:firstRowLastColumn="0" w:lastRowFirstColumn="0" w:lastRowLastColumn="0"/>
            <w:tcW w:w="3975" w:type="dxa"/>
          </w:tcPr>
          <w:p w:rsidR="00816AF2" w:rsidRDefault="00A05F67">
            <w:pPr>
              <w:jc w:val="center"/>
            </w:pPr>
            <w:r>
              <w:rPr>
                <w:rFonts w:ascii="Calibri" w:hAnsi="Calibri" w:cs="Calibri"/>
                <w:sz w:val="24"/>
                <w:szCs w:val="24"/>
              </w:rPr>
              <w:t>Sotto-tema Strategico</w:t>
            </w:r>
          </w:p>
        </w:tc>
        <w:tc>
          <w:tcPr>
            <w:tcW w:w="1048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Azioni a tutela della sostenibilità ambientale</w:t>
            </w:r>
          </w:p>
        </w:tc>
      </w:tr>
    </w:tbl>
    <w:p w:rsidR="00816AF2" w:rsidRDefault="00816AF2"/>
    <w:tbl>
      <w:tblPr>
        <w:tblStyle w:val="Grigliachiara-Colore5"/>
        <w:tblW w:w="5000" w:type="auto"/>
        <w:tblLook w:val="0680" w:firstRow="0" w:lastRow="0" w:firstColumn="1" w:lastColumn="0" w:noHBand="1" w:noVBand="1"/>
      </w:tblPr>
      <w:tblGrid>
        <w:gridCol w:w="1803"/>
        <w:gridCol w:w="1865"/>
        <w:gridCol w:w="1866"/>
        <w:gridCol w:w="2178"/>
        <w:gridCol w:w="1993"/>
        <w:gridCol w:w="1599"/>
        <w:gridCol w:w="1599"/>
        <w:gridCol w:w="1599"/>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CONAI</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3.436.163,93</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1.323.945,71</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1.203.000,00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1.203.000,00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F57E50" w:rsidRPr="00F15E3E" w:rsidRDefault="00F57E50" w:rsidP="00F57E50">
      <w:pPr>
        <w:rPr>
          <w:rFonts w:cs="Arial"/>
        </w:rPr>
      </w:pPr>
      <w:r w:rsidRPr="00F15E3E">
        <w:rPr>
          <w:b/>
        </w:rPr>
        <w:t>Descrizione generale:</w:t>
      </w:r>
      <w:r w:rsidRPr="00F15E3E">
        <w:t xml:space="preserve"> </w:t>
      </w:r>
      <w:r w:rsidRPr="00F15E3E">
        <w:rPr>
          <w:rFonts w:cs="Arial"/>
        </w:rPr>
        <w:t>Confluiscono nel bilancio consortile i  proventi derivanti dalla gestione CONAI che vengono poi trasferiti in primis a ConSerVCO SpA per la copertura di costi generali di gestione ed ai Comuni consorziati nulla fase dei quantitativi di rifiuto differenziato conferiti dagli stessi.</w:t>
      </w:r>
    </w:p>
    <w:p w:rsidR="00F57E50" w:rsidRPr="00F15E3E" w:rsidRDefault="00F57E50" w:rsidP="00F57E50">
      <w:pPr>
        <w:rPr>
          <w:b/>
        </w:rPr>
      </w:pPr>
      <w:r w:rsidRPr="00F15E3E">
        <w:rPr>
          <w:b/>
        </w:rPr>
        <w:t xml:space="preserve">Finalità da conseguire: </w:t>
      </w:r>
      <w:r w:rsidRPr="00F15E3E">
        <w:t>incremento dei proventi CONAI attraverso l’uniformazione dei flussi di raccolta e le campagne di sensibilizzazione ed informativa all’utenza.</w:t>
      </w:r>
    </w:p>
    <w:p w:rsidR="00816AF2" w:rsidRDefault="00816AF2"/>
    <w:tbl>
      <w:tblPr>
        <w:tblStyle w:val="Grigliachiara-Colore5"/>
        <w:tblW w:w="5000" w:type="auto"/>
        <w:tblLook w:val="0680" w:firstRow="0" w:lastRow="0" w:firstColumn="1" w:lastColumn="0" w:noHBand="1" w:noVBand="1"/>
      </w:tblPr>
      <w:tblGrid>
        <w:gridCol w:w="1834"/>
        <w:gridCol w:w="1797"/>
        <w:gridCol w:w="1797"/>
        <w:gridCol w:w="2124"/>
        <w:gridCol w:w="2015"/>
        <w:gridCol w:w="1645"/>
        <w:gridCol w:w="1645"/>
        <w:gridCol w:w="1645"/>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RETRIBUZIONE LORDE PERSONALE COMPRESO SEGRETARIO</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57.331,19</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54.300,00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54.200,00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54.100,00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F57E50" w:rsidRPr="007014B5" w:rsidRDefault="00F57E50" w:rsidP="00F57E50">
      <w:r w:rsidRPr="007014B5">
        <w:rPr>
          <w:b/>
        </w:rPr>
        <w:t xml:space="preserve">Descrizione generale: </w:t>
      </w:r>
      <w:r w:rsidRPr="007014B5">
        <w:t>rientra la retribuzione dell’Istruttore Direttivo D3 addetto ai servizi tecnici.</w:t>
      </w:r>
    </w:p>
    <w:p w:rsidR="00F57E50" w:rsidRPr="007014B5" w:rsidRDefault="00F57E50" w:rsidP="00F57E50">
      <w:r w:rsidRPr="007014B5">
        <w:rPr>
          <w:b/>
        </w:rPr>
        <w:t xml:space="preserve">Finalità da conseguire: </w:t>
      </w:r>
      <w:r w:rsidRPr="007014B5">
        <w:t>garantire attraverso le risorse umane in servizio il raggiungimento degli obiettivi dell’Ente.</w:t>
      </w:r>
    </w:p>
    <w:p w:rsidR="00F57E50" w:rsidRDefault="00F57E50"/>
    <w:p w:rsidR="00816AF2" w:rsidRDefault="00816AF2"/>
    <w:tbl>
      <w:tblPr>
        <w:tblStyle w:val="Grigliachiara-Colore5"/>
        <w:tblW w:w="5000" w:type="auto"/>
        <w:tblLook w:val="0680" w:firstRow="0" w:lastRow="0" w:firstColumn="1" w:lastColumn="0" w:noHBand="1" w:noVBand="1"/>
      </w:tblPr>
      <w:tblGrid>
        <w:gridCol w:w="1853"/>
        <w:gridCol w:w="1779"/>
        <w:gridCol w:w="1779"/>
        <w:gridCol w:w="2058"/>
        <w:gridCol w:w="2026"/>
        <w:gridCol w:w="1669"/>
        <w:gridCol w:w="1669"/>
        <w:gridCol w:w="1669"/>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lastRenderedPageBreak/>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INTERESSI SU MUTUI</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2.210,00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2.210,00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711,45</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F57E50" w:rsidRPr="00DC3C5E" w:rsidRDefault="00F57E50" w:rsidP="00F57E50">
      <w:r w:rsidRPr="00DC3C5E">
        <w:rPr>
          <w:b/>
        </w:rPr>
        <w:t xml:space="preserve">Descrizione generale: </w:t>
      </w:r>
      <w:r w:rsidRPr="00DC3C5E">
        <w:t>interessi su mutui erogati con CDP per realizzazione di opere presso l’Impianto di Termoutilizzazione di Mergozzo. Trattasi di mutui attribuiti al Consorzio nel</w:t>
      </w:r>
      <w:r>
        <w:t xml:space="preserve"> </w:t>
      </w:r>
      <w:r w:rsidRPr="00DC3C5E">
        <w:t>2004 in sede di trasformazione dell’allora Consorzio Servizi VCO in COB Verbania con contestuale istituzione della Società ConSerVCO SpA.</w:t>
      </w:r>
    </w:p>
    <w:p w:rsidR="00F57E50" w:rsidRPr="00DC3C5E" w:rsidRDefault="00F57E50" w:rsidP="00F57E50">
      <w:r w:rsidRPr="00DC3C5E">
        <w:rPr>
          <w:b/>
        </w:rPr>
        <w:t xml:space="preserve">Finalità da conseguire: </w:t>
      </w:r>
      <w:r w:rsidRPr="00DC3C5E">
        <w:t>L’Ente non prevede l’assunzione di mutui di breve-medio e lungo periodo.</w:t>
      </w:r>
    </w:p>
    <w:p w:rsidR="00816AF2" w:rsidRDefault="00816AF2"/>
    <w:tbl>
      <w:tblPr>
        <w:tblStyle w:val="Grigliachiara-Colore5"/>
        <w:tblW w:w="5000" w:type="auto"/>
        <w:tblLook w:val="0680" w:firstRow="0" w:lastRow="0" w:firstColumn="1" w:lastColumn="0" w:noHBand="1" w:noVBand="1"/>
      </w:tblPr>
      <w:tblGrid>
        <w:gridCol w:w="1824"/>
        <w:gridCol w:w="1823"/>
        <w:gridCol w:w="1823"/>
        <w:gridCol w:w="2145"/>
        <w:gridCol w:w="2006"/>
        <w:gridCol w:w="1627"/>
        <w:gridCol w:w="1627"/>
        <w:gridCol w:w="1627"/>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IMPOSTE E TASSE</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175.572,84</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137.464,23</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123.300,00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123.300,00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816AF2" w:rsidRDefault="00F57E50">
      <w:r>
        <w:rPr>
          <w:b/>
        </w:rPr>
        <w:t xml:space="preserve">Descrizione generale: </w:t>
      </w:r>
      <w:r>
        <w:t>pagamento IVA  a debito su proventi CONAI.</w:t>
      </w:r>
    </w:p>
    <w:tbl>
      <w:tblPr>
        <w:tblStyle w:val="Grigliachiara-Colore5"/>
        <w:tblW w:w="5000" w:type="auto"/>
        <w:tblLook w:val="0680" w:firstRow="0" w:lastRow="0" w:firstColumn="1" w:lastColumn="0" w:noHBand="1" w:noVBand="1"/>
      </w:tblPr>
      <w:tblGrid>
        <w:gridCol w:w="1834"/>
        <w:gridCol w:w="1797"/>
        <w:gridCol w:w="1797"/>
        <w:gridCol w:w="2124"/>
        <w:gridCol w:w="2015"/>
        <w:gridCol w:w="1645"/>
        <w:gridCol w:w="1645"/>
        <w:gridCol w:w="1645"/>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PRESTAZIONI DI SERVIZIO REPARTO TECNICO</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44.656,53</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23.750,00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28.000,00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28.000,00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F57E50" w:rsidRDefault="00F57E50" w:rsidP="00F57E50">
      <w:r w:rsidRPr="00F73E51">
        <w:rPr>
          <w:b/>
        </w:rPr>
        <w:t xml:space="preserve">Descrizione generale: </w:t>
      </w:r>
      <w:r w:rsidRPr="00F73E51">
        <w:t>prestazioni di servizio inerenti le attività tecniche gestite dal Consorzio con riferimento alla ex discarica consortile di Domodossola , quali canoni demaniali, analisi acque e redazione relazione geologica per discarica consortile di Domo</w:t>
      </w:r>
      <w:r>
        <w:t>dossola</w:t>
      </w:r>
    </w:p>
    <w:p w:rsidR="00816AF2" w:rsidRDefault="00F57E50">
      <w:r w:rsidRPr="00F73E51">
        <w:rPr>
          <w:b/>
        </w:rPr>
        <w:t xml:space="preserve">Finalità da conseguire: </w:t>
      </w:r>
      <w:r>
        <w:t>contenimento dei costi.</w:t>
      </w:r>
    </w:p>
    <w:tbl>
      <w:tblPr>
        <w:tblStyle w:val="Grigliachiara-Colore5"/>
        <w:tblW w:w="5000" w:type="auto"/>
        <w:tblLook w:val="0680" w:firstRow="0" w:lastRow="0" w:firstColumn="1" w:lastColumn="0" w:noHBand="1" w:noVBand="1"/>
      </w:tblPr>
      <w:tblGrid>
        <w:gridCol w:w="2752"/>
        <w:gridCol w:w="1814"/>
        <w:gridCol w:w="1814"/>
        <w:gridCol w:w="1814"/>
        <w:gridCol w:w="1814"/>
        <w:gridCol w:w="1498"/>
        <w:gridCol w:w="1498"/>
        <w:gridCol w:w="1498"/>
      </w:tblGrid>
      <w:tr w:rsidR="00816AF2" w:rsidTr="00816AF2">
        <w:tc>
          <w:tcPr>
            <w:cnfStyle w:val="001000000000" w:firstRow="0" w:lastRow="0" w:firstColumn="1" w:lastColumn="0" w:oddVBand="0" w:evenVBand="0" w:oddHBand="0" w:evenHBand="0" w:firstRowFirstColumn="0" w:firstRowLastColumn="0" w:lastRowFirstColumn="0" w:lastRowLastColumn="0"/>
            <w:tcW w:w="3975" w:type="dxa"/>
            <w:vMerge w:val="restart"/>
          </w:tcPr>
          <w:p w:rsidR="00816AF2" w:rsidRDefault="00A05F67">
            <w:pPr>
              <w:jc w:val="center"/>
            </w:pPr>
            <w:r>
              <w:rPr>
                <w:rFonts w:ascii="Calibri" w:hAnsi="Calibri" w:cs="Calibri"/>
                <w:i/>
                <w:sz w:val="24"/>
                <w:szCs w:val="24"/>
              </w:rPr>
              <w:t>Totale Spese Previste - Azioni a tutela della sostenibilità ambientale</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vMerge/>
          </w:tcPr>
          <w:p w:rsidR="00816AF2" w:rsidRDefault="00816AF2"/>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3.715.934,49</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1.541.669,94</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1.409.211,45</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1.408.400,00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F57E50" w:rsidRDefault="00F57E50"/>
    <w:tbl>
      <w:tblPr>
        <w:tblStyle w:val="Grigliachiara-Colore5"/>
        <w:tblW w:w="5000" w:type="pct"/>
        <w:tblLook w:val="0680" w:firstRow="0" w:lastRow="0" w:firstColumn="1" w:lastColumn="0" w:noHBand="1" w:noVBand="1"/>
      </w:tblPr>
      <w:tblGrid>
        <w:gridCol w:w="14502"/>
      </w:tblGrid>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lastRenderedPageBreak/>
              <w:t>Missione: 09 - Sviluppo sostenibile e tutela del territorio e dell'ambiente</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t>Programma: 03 - Rifiuti</w:t>
            </w:r>
          </w:p>
        </w:tc>
      </w:tr>
    </w:tbl>
    <w:p w:rsidR="00816AF2" w:rsidRDefault="00816AF2"/>
    <w:tbl>
      <w:tblPr>
        <w:tblStyle w:val="Grigliachiara-Colore5"/>
        <w:tblW w:w="5000" w:type="auto"/>
        <w:tblLook w:val="0680" w:firstRow="0" w:lastRow="0" w:firstColumn="1" w:lastColumn="0" w:noHBand="1" w:noVBand="1"/>
      </w:tblPr>
      <w:tblGrid>
        <w:gridCol w:w="3975"/>
        <w:gridCol w:w="10485"/>
      </w:tblGrid>
      <w:tr w:rsidR="00816AF2" w:rsidTr="00816AF2">
        <w:tc>
          <w:tcPr>
            <w:cnfStyle w:val="001000000000" w:firstRow="0" w:lastRow="0" w:firstColumn="1" w:lastColumn="0" w:oddVBand="0" w:evenVBand="0" w:oddHBand="0" w:evenHBand="0" w:firstRowFirstColumn="0" w:firstRowLastColumn="0" w:lastRowFirstColumn="0" w:lastRowLastColumn="0"/>
            <w:tcW w:w="3975" w:type="dxa"/>
          </w:tcPr>
          <w:p w:rsidR="00816AF2" w:rsidRDefault="00A05F67">
            <w:pPr>
              <w:jc w:val="center"/>
            </w:pPr>
            <w:r>
              <w:rPr>
                <w:rFonts w:ascii="Calibri" w:hAnsi="Calibri" w:cs="Calibri"/>
                <w:sz w:val="24"/>
                <w:szCs w:val="24"/>
              </w:rPr>
              <w:t>Sotto-tema Strategico</w:t>
            </w:r>
          </w:p>
        </w:tc>
        <w:tc>
          <w:tcPr>
            <w:tcW w:w="10485" w:type="dxa"/>
          </w:tcPr>
          <w:p w:rsidR="00816AF2" w:rsidRDefault="00F57E50">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FONDO MINISTERO INTERNO PER IVA SERVIZI NON COMMERCIALI</w:t>
            </w:r>
          </w:p>
        </w:tc>
      </w:tr>
    </w:tbl>
    <w:p w:rsidR="00816AF2" w:rsidRDefault="00816AF2"/>
    <w:tbl>
      <w:tblPr>
        <w:tblStyle w:val="Grigliachiara-Colore5"/>
        <w:tblW w:w="5000" w:type="auto"/>
        <w:tblLook w:val="0680" w:firstRow="0" w:lastRow="0" w:firstColumn="1" w:lastColumn="0" w:noHBand="1" w:noVBand="1"/>
      </w:tblPr>
      <w:tblGrid>
        <w:gridCol w:w="1830"/>
        <w:gridCol w:w="1832"/>
        <w:gridCol w:w="1793"/>
        <w:gridCol w:w="2118"/>
        <w:gridCol w:w="2012"/>
        <w:gridCol w:w="1639"/>
        <w:gridCol w:w="1639"/>
        <w:gridCol w:w="1639"/>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320.147,70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55.000,00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55.000,00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55.000,00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F57E50" w:rsidRPr="00CF7639" w:rsidRDefault="00F57E50" w:rsidP="00F57E50">
      <w:pPr>
        <w:widowControl w:val="0"/>
        <w:tabs>
          <w:tab w:val="left" w:pos="3686"/>
        </w:tabs>
        <w:spacing w:line="360" w:lineRule="auto"/>
        <w:rPr>
          <w:rFonts w:cs="Tahoma"/>
        </w:rPr>
      </w:pPr>
      <w:r w:rsidRPr="00CF7639">
        <w:rPr>
          <w:rFonts w:cs="Tahoma"/>
          <w:b/>
        </w:rPr>
        <w:t>Descrizione attività:</w:t>
      </w:r>
      <w:r>
        <w:rPr>
          <w:rFonts w:cs="Tahoma"/>
        </w:rPr>
        <w:t xml:space="preserve"> t</w:t>
      </w:r>
      <w:r w:rsidRPr="00CF7639">
        <w:rPr>
          <w:rFonts w:cs="Tahoma"/>
        </w:rPr>
        <w:t>rattasi  del Fondo di contenimento tariffe trasferito da parte del Ministero dell’Interno per i maggiori oneri derivanti dal pagamento dell’IVA in relazione ai contratto di servizio non commerciali dei Comuni in gestione TARI che trova identico importo al Titolo I delle entrate.</w:t>
      </w:r>
    </w:p>
    <w:p w:rsidR="00F57E50" w:rsidRDefault="00F57E50" w:rsidP="00F57E50">
      <w:r w:rsidRPr="00CF7639">
        <w:rPr>
          <w:b/>
        </w:rPr>
        <w:t xml:space="preserve">Finalità da conseguire: </w:t>
      </w:r>
      <w:r w:rsidRPr="00CF7639">
        <w:t>trasferimento dell’impo</w:t>
      </w:r>
      <w:r>
        <w:t>rto ai Comuni in gestione TARI.</w:t>
      </w:r>
    </w:p>
    <w:p w:rsidR="00816AF2" w:rsidRDefault="00816AF2"/>
    <w:tbl>
      <w:tblPr>
        <w:tblStyle w:val="Grigliachiara-Colore5"/>
        <w:tblW w:w="5000" w:type="auto"/>
        <w:tblLook w:val="0680" w:firstRow="0" w:lastRow="0" w:firstColumn="1" w:lastColumn="0" w:noHBand="1" w:noVBand="1"/>
      </w:tblPr>
      <w:tblGrid>
        <w:gridCol w:w="1863"/>
        <w:gridCol w:w="1829"/>
        <w:gridCol w:w="1687"/>
        <w:gridCol w:w="2027"/>
        <w:gridCol w:w="2035"/>
        <w:gridCol w:w="1687"/>
        <w:gridCol w:w="1687"/>
        <w:gridCol w:w="1687"/>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FINANZIAMENTI PROVINCIA</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29.778,00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816AF2" w:rsidRDefault="00F57E50">
      <w:r>
        <w:t>Nulla è previsto nel triennio 2018/2020.</w:t>
      </w:r>
    </w:p>
    <w:tbl>
      <w:tblPr>
        <w:tblStyle w:val="Grigliachiara-Colore5"/>
        <w:tblW w:w="5000" w:type="auto"/>
        <w:tblLook w:val="0680" w:firstRow="0" w:lastRow="0" w:firstColumn="1" w:lastColumn="0" w:noHBand="1" w:noVBand="1"/>
      </w:tblPr>
      <w:tblGrid>
        <w:gridCol w:w="1848"/>
        <w:gridCol w:w="1772"/>
        <w:gridCol w:w="1772"/>
        <w:gridCol w:w="2104"/>
        <w:gridCol w:w="2023"/>
        <w:gridCol w:w="1661"/>
        <w:gridCol w:w="1661"/>
        <w:gridCol w:w="1661"/>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IRAP SU STIPENDI PERSONALE E SEGRETARIO</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5.632,23</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3.900,00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3.800,00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3.800,00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F57E50" w:rsidRPr="002B1322" w:rsidRDefault="00F57E50" w:rsidP="00F57E50">
      <w:pPr>
        <w:widowControl w:val="0"/>
        <w:tabs>
          <w:tab w:val="left" w:pos="3686"/>
        </w:tabs>
        <w:spacing w:line="360" w:lineRule="auto"/>
        <w:rPr>
          <w:rFonts w:cs="Tahoma"/>
        </w:rPr>
      </w:pPr>
      <w:r w:rsidRPr="007C3979">
        <w:rPr>
          <w:rFonts w:cs="Tahoma"/>
          <w:b/>
        </w:rPr>
        <w:t>Descrizione attività:</w:t>
      </w:r>
      <w:r w:rsidRPr="007C3979">
        <w:rPr>
          <w:rFonts w:cs="Tahoma"/>
        </w:rPr>
        <w:t xml:space="preserve"> IRAP su retribuzione</w:t>
      </w:r>
      <w:r>
        <w:rPr>
          <w:rFonts w:cs="Tahoma"/>
        </w:rPr>
        <w:t xml:space="preserve"> n. 1 istruttore direttivo D3. </w:t>
      </w:r>
    </w:p>
    <w:p w:rsidR="00F57E50" w:rsidRDefault="00F57E50"/>
    <w:p w:rsidR="00816AF2" w:rsidRDefault="00816AF2"/>
    <w:tbl>
      <w:tblPr>
        <w:tblStyle w:val="Grigliachiara-Colore5"/>
        <w:tblW w:w="5000" w:type="auto"/>
        <w:tblLook w:val="0680" w:firstRow="0" w:lastRow="0" w:firstColumn="1" w:lastColumn="0" w:noHBand="1" w:noVBand="1"/>
      </w:tblPr>
      <w:tblGrid>
        <w:gridCol w:w="1842"/>
        <w:gridCol w:w="1806"/>
        <w:gridCol w:w="1768"/>
        <w:gridCol w:w="2098"/>
        <w:gridCol w:w="2020"/>
        <w:gridCol w:w="1656"/>
        <w:gridCol w:w="1656"/>
        <w:gridCol w:w="1656"/>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PROGETTI RD</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10.478,90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816AF2" w:rsidRDefault="00816AF2"/>
    <w:tbl>
      <w:tblPr>
        <w:tblStyle w:val="Grigliachiara-Colore5"/>
        <w:tblW w:w="5000" w:type="auto"/>
        <w:tblLook w:val="0680" w:firstRow="0" w:lastRow="0" w:firstColumn="1" w:lastColumn="0" w:noHBand="1" w:noVBand="1"/>
      </w:tblPr>
      <w:tblGrid>
        <w:gridCol w:w="1834"/>
        <w:gridCol w:w="1797"/>
        <w:gridCol w:w="1797"/>
        <w:gridCol w:w="2124"/>
        <w:gridCol w:w="2015"/>
        <w:gridCol w:w="1645"/>
        <w:gridCol w:w="1645"/>
        <w:gridCol w:w="1645"/>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F57E50">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SENSIBILIZZAZIONE UTENTI IN MATERIA DI R.D.</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F57E50" w:rsidRPr="00AC36DE" w:rsidRDefault="00F57E50" w:rsidP="00F57E50">
      <w:pPr>
        <w:widowControl w:val="0"/>
        <w:tabs>
          <w:tab w:val="left" w:pos="3686"/>
        </w:tabs>
        <w:spacing w:line="360" w:lineRule="auto"/>
        <w:rPr>
          <w:rFonts w:cs="Tahoma"/>
        </w:rPr>
      </w:pPr>
      <w:r w:rsidRPr="00AC36DE">
        <w:rPr>
          <w:rFonts w:cs="Tahoma"/>
          <w:b/>
        </w:rPr>
        <w:t>Descrizione attività:</w:t>
      </w:r>
      <w:r w:rsidRPr="00AC36DE">
        <w:rPr>
          <w:rFonts w:cs="Tahoma"/>
        </w:rPr>
        <w:t xml:space="preserve"> vengono inserite le spese tecniche per il raggiungimento dei fini istituzionali dell’Ente quali:</w:t>
      </w:r>
    </w:p>
    <w:p w:rsidR="00F57E50" w:rsidRPr="00AC36DE" w:rsidRDefault="00AC36DE" w:rsidP="00F57E50">
      <w:pPr>
        <w:widowControl w:val="0"/>
        <w:tabs>
          <w:tab w:val="left" w:pos="3686"/>
        </w:tabs>
        <w:rPr>
          <w:rFonts w:cstheme="minorHAnsi"/>
        </w:rPr>
      </w:pPr>
      <w:r w:rsidRPr="00AC36DE">
        <w:rPr>
          <w:rFonts w:cstheme="minorHAnsi"/>
          <w:b/>
        </w:rPr>
        <w:t>€ 5.000,</w:t>
      </w:r>
      <w:r w:rsidR="00F57E50" w:rsidRPr="00AC36DE">
        <w:rPr>
          <w:rFonts w:cstheme="minorHAnsi"/>
          <w:b/>
        </w:rPr>
        <w:t>00</w:t>
      </w:r>
      <w:r w:rsidR="00F57E50" w:rsidRPr="00AC36DE">
        <w:rPr>
          <w:rFonts w:cstheme="minorHAnsi"/>
          <w:b/>
          <w:color w:val="FF0000"/>
        </w:rPr>
        <w:t xml:space="preserve"> </w:t>
      </w:r>
      <w:r w:rsidR="00F57E50" w:rsidRPr="00AC36DE">
        <w:rPr>
          <w:rFonts w:cstheme="minorHAnsi"/>
        </w:rPr>
        <w:t>per prestazioni di servizio relative al reparto tecnico dell’Ente, quali:</w:t>
      </w:r>
    </w:p>
    <w:p w:rsidR="00F57E50" w:rsidRPr="00AC36DE" w:rsidRDefault="00F57E50" w:rsidP="00F57E50">
      <w:pPr>
        <w:widowControl w:val="0"/>
        <w:tabs>
          <w:tab w:val="left" w:pos="3686"/>
        </w:tabs>
        <w:rPr>
          <w:rFonts w:cstheme="minorHAnsi"/>
        </w:rPr>
      </w:pPr>
      <w:r w:rsidRPr="00AC36DE">
        <w:rPr>
          <w:rFonts w:cstheme="minorHAnsi"/>
        </w:rPr>
        <w:t>-€2.000,00 per aggiornamento sito “23 bis” ad uso dei tutti Comuni consorziati recante situazione aggiornata delle schede di servizio di ogni singolo Comune;</w:t>
      </w:r>
    </w:p>
    <w:p w:rsidR="00F57E50" w:rsidRPr="00AC36DE" w:rsidRDefault="00AC36DE" w:rsidP="00F57E50">
      <w:pPr>
        <w:widowControl w:val="0"/>
        <w:tabs>
          <w:tab w:val="left" w:pos="3686"/>
        </w:tabs>
        <w:rPr>
          <w:rFonts w:cstheme="minorHAnsi"/>
        </w:rPr>
      </w:pPr>
      <w:r w:rsidRPr="00AC36DE">
        <w:rPr>
          <w:rFonts w:cstheme="minorHAnsi"/>
        </w:rPr>
        <w:t>-€3.00</w:t>
      </w:r>
      <w:r w:rsidR="00F57E50" w:rsidRPr="00AC36DE">
        <w:rPr>
          <w:rFonts w:cstheme="minorHAnsi"/>
        </w:rPr>
        <w:t>0,00 stipula convenzione con impianto inerti sito in Località Santino nel Comune di Verbania di proprietà della Cooperativa Sociale Risorse al fine di permettere ai cittadini di tutti i n.76 Comuni il conferimento gratuito, entro limiti quantitativi prestabiliti, di rifiuti inerti (materiale da demolizione/costruzione) di provenienza domestica e scarti di origine vegetale;</w:t>
      </w:r>
    </w:p>
    <w:p w:rsidR="00F57E50" w:rsidRPr="00AC36DE" w:rsidRDefault="00AC36DE" w:rsidP="00F57E50">
      <w:pPr>
        <w:widowControl w:val="0"/>
        <w:tabs>
          <w:tab w:val="left" w:pos="3686"/>
        </w:tabs>
        <w:rPr>
          <w:rFonts w:cstheme="minorHAnsi"/>
        </w:rPr>
      </w:pPr>
      <w:r w:rsidRPr="00AC36DE">
        <w:rPr>
          <w:rFonts w:cstheme="minorHAnsi"/>
          <w:b/>
        </w:rPr>
        <w:t>€ 1</w:t>
      </w:r>
      <w:r w:rsidR="00F57E50" w:rsidRPr="00AC36DE">
        <w:rPr>
          <w:rFonts w:cstheme="minorHAnsi"/>
          <w:b/>
        </w:rPr>
        <w:t>0.000,00</w:t>
      </w:r>
      <w:r w:rsidR="00F57E50" w:rsidRPr="00AC36DE">
        <w:rPr>
          <w:rFonts w:cstheme="minorHAnsi"/>
        </w:rPr>
        <w:t xml:space="preserve"> per progetti di sensibilizzazione e di informazione circa le modalità di corretta separazione dei rifiuti recuperabili con particolare declinazione della campagna verso la raccolta differenziata dei rifiuti di imballaggio in plastica anche a seguito dell’attesa uniformazione dei flussi di raccolta per l’intero ambito provinciale; </w:t>
      </w:r>
    </w:p>
    <w:p w:rsidR="00F57E50" w:rsidRPr="00643F7F" w:rsidRDefault="00F57E50" w:rsidP="00F57E50">
      <w:pPr>
        <w:rPr>
          <w:rFonts w:cstheme="minorHAnsi"/>
        </w:rPr>
      </w:pPr>
      <w:r w:rsidRPr="00AC36DE">
        <w:rPr>
          <w:rFonts w:cstheme="minorHAnsi"/>
          <w:b/>
        </w:rPr>
        <w:t xml:space="preserve">Finalità da conseguire: </w:t>
      </w:r>
      <w:r w:rsidRPr="00AC36DE">
        <w:rPr>
          <w:rFonts w:cstheme="minorHAnsi"/>
        </w:rPr>
        <w:t>contenimento della spesa.</w:t>
      </w:r>
    </w:p>
    <w:p w:rsidR="00F57E50" w:rsidRDefault="00F57E50"/>
    <w:p w:rsidR="00816AF2" w:rsidRDefault="00816AF2"/>
    <w:tbl>
      <w:tblPr>
        <w:tblStyle w:val="Grigliachiara-Colore5"/>
        <w:tblW w:w="5000" w:type="auto"/>
        <w:tblLook w:val="0680" w:firstRow="0" w:lastRow="0" w:firstColumn="1" w:lastColumn="0" w:noHBand="1" w:noVBand="1"/>
      </w:tblPr>
      <w:tblGrid>
        <w:gridCol w:w="1848"/>
        <w:gridCol w:w="1772"/>
        <w:gridCol w:w="1772"/>
        <w:gridCol w:w="2104"/>
        <w:gridCol w:w="2023"/>
        <w:gridCol w:w="1661"/>
        <w:gridCol w:w="1661"/>
        <w:gridCol w:w="1661"/>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ACQUISTO MATERIALE RD</w:t>
            </w:r>
            <w:r w:rsidR="00F57E50">
              <w:rPr>
                <w:rFonts w:ascii="Calibri" w:hAnsi="Calibri" w:cs="Calibri"/>
                <w:sz w:val="24"/>
                <w:szCs w:val="24"/>
              </w:rPr>
              <w:t xml:space="preserve"> PIANI FINANZIARI TARI STRESA E CREVOLADOSSOLA</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5.911,92</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4.845,60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2.405,60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2.405,60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F57E50" w:rsidRPr="00F97832" w:rsidRDefault="00F57E50" w:rsidP="00F57E50">
      <w:pPr>
        <w:widowControl w:val="0"/>
        <w:tabs>
          <w:tab w:val="left" w:pos="3686"/>
        </w:tabs>
        <w:spacing w:line="360" w:lineRule="auto"/>
        <w:rPr>
          <w:rFonts w:cs="Tahoma"/>
        </w:rPr>
      </w:pPr>
      <w:r w:rsidRPr="00F97832">
        <w:rPr>
          <w:rFonts w:cs="Tahoma"/>
          <w:b/>
        </w:rPr>
        <w:t>Descrizione attività:</w:t>
      </w:r>
      <w:r>
        <w:rPr>
          <w:rFonts w:cs="Tahoma"/>
        </w:rPr>
        <w:t xml:space="preserve"> v</w:t>
      </w:r>
      <w:r w:rsidRPr="00F97832">
        <w:rPr>
          <w:rFonts w:cs="Tahoma"/>
        </w:rPr>
        <w:t xml:space="preserve">engono inserite le spese </w:t>
      </w:r>
      <w:r>
        <w:rPr>
          <w:rFonts w:cs="Tahoma"/>
        </w:rPr>
        <w:t xml:space="preserve">per acquisto di materiale di consumo relativi alla gestione integrata dei rifiuti previste </w:t>
      </w:r>
      <w:r w:rsidRPr="00F97832">
        <w:rPr>
          <w:rFonts w:cs="Tahoma"/>
        </w:rPr>
        <w:t xml:space="preserve"> nei Piani Finanziari TARI dei Comuni di Stresa e Crevoladossola per i quali il Consorzio tiene la gestione del tributo. </w:t>
      </w:r>
    </w:p>
    <w:p w:rsidR="00F57E50" w:rsidRPr="00F97832" w:rsidRDefault="00F57E50" w:rsidP="00F57E50">
      <w:r w:rsidRPr="00F97832">
        <w:rPr>
          <w:b/>
        </w:rPr>
        <w:t xml:space="preserve">Finalità da conseguire: </w:t>
      </w:r>
      <w:r>
        <w:t>m</w:t>
      </w:r>
      <w:r w:rsidRPr="00F97832">
        <w:t>onitoraggio dei costi preventivati.</w:t>
      </w:r>
    </w:p>
    <w:p w:rsidR="00F57E50" w:rsidRDefault="00F57E50"/>
    <w:tbl>
      <w:tblPr>
        <w:tblStyle w:val="Grigliachiara-Colore5"/>
        <w:tblW w:w="5000" w:type="auto"/>
        <w:tblLook w:val="0680" w:firstRow="0" w:lastRow="0" w:firstColumn="1" w:lastColumn="0" w:noHBand="1" w:noVBand="1"/>
      </w:tblPr>
      <w:tblGrid>
        <w:gridCol w:w="1803"/>
        <w:gridCol w:w="1865"/>
        <w:gridCol w:w="1866"/>
        <w:gridCol w:w="2178"/>
        <w:gridCol w:w="1993"/>
        <w:gridCol w:w="1599"/>
        <w:gridCol w:w="1599"/>
        <w:gridCol w:w="1599"/>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PRESTAZIONI SERVIZI</w:t>
            </w:r>
            <w:r w:rsidR="00F57E50">
              <w:rPr>
                <w:rFonts w:ascii="Calibri" w:hAnsi="Calibri" w:cs="Calibri"/>
                <w:sz w:val="24"/>
                <w:szCs w:val="24"/>
              </w:rPr>
              <w:t>O PIANO FINANZIARIO TARI STRESA E CREVOLADOSSOLA</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3.272.999,99</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2.587.046,59</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2.591.924,99</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2.591.924,99</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8E2433" w:rsidRPr="00F97832" w:rsidRDefault="008E2433" w:rsidP="008E2433">
      <w:pPr>
        <w:widowControl w:val="0"/>
        <w:tabs>
          <w:tab w:val="left" w:pos="3686"/>
        </w:tabs>
        <w:spacing w:line="360" w:lineRule="auto"/>
        <w:rPr>
          <w:rFonts w:cs="Tahoma"/>
        </w:rPr>
      </w:pPr>
      <w:r w:rsidRPr="00F97832">
        <w:rPr>
          <w:rFonts w:cs="Tahoma"/>
          <w:b/>
        </w:rPr>
        <w:t>Descrizione attività:</w:t>
      </w:r>
      <w:r>
        <w:rPr>
          <w:rFonts w:cs="Tahoma"/>
        </w:rPr>
        <w:t xml:space="preserve"> v</w:t>
      </w:r>
      <w:r w:rsidRPr="00F97832">
        <w:rPr>
          <w:rFonts w:cs="Tahoma"/>
        </w:rPr>
        <w:t xml:space="preserve">engono inserite le spese </w:t>
      </w:r>
      <w:r>
        <w:rPr>
          <w:rFonts w:cs="Tahoma"/>
        </w:rPr>
        <w:t xml:space="preserve">per tutte le prestazioni di servizio relative alla gestione integrata dei rifiuti previste </w:t>
      </w:r>
      <w:r w:rsidRPr="00F97832">
        <w:rPr>
          <w:rFonts w:cs="Tahoma"/>
        </w:rPr>
        <w:t xml:space="preserve"> nei Piani Finanziari TARI dei Comuni di Stresa e Crevoladossola per i quali il Consorzio tiene la gestione del tributo. </w:t>
      </w:r>
    </w:p>
    <w:p w:rsidR="008E2433" w:rsidRDefault="008E2433" w:rsidP="008E2433">
      <w:r w:rsidRPr="00F97832">
        <w:rPr>
          <w:b/>
        </w:rPr>
        <w:t xml:space="preserve">Finalità da conseguire: </w:t>
      </w:r>
      <w:r>
        <w:t>m</w:t>
      </w:r>
      <w:r w:rsidRPr="00F97832">
        <w:t>oni</w:t>
      </w:r>
      <w:r>
        <w:t>toraggio dei costi preventivati</w:t>
      </w:r>
    </w:p>
    <w:p w:rsidR="00F57E50" w:rsidRDefault="00F57E50"/>
    <w:p w:rsidR="00F57E50" w:rsidRDefault="00F57E50"/>
    <w:p w:rsidR="00F57E50" w:rsidRDefault="00F57E50"/>
    <w:p w:rsidR="00816AF2" w:rsidRDefault="00816AF2"/>
    <w:tbl>
      <w:tblPr>
        <w:tblStyle w:val="Grigliachiara-Colore5"/>
        <w:tblW w:w="5000" w:type="auto"/>
        <w:tblLook w:val="0680" w:firstRow="0" w:lastRow="0" w:firstColumn="1" w:lastColumn="0" w:noHBand="1" w:noVBand="1"/>
      </w:tblPr>
      <w:tblGrid>
        <w:gridCol w:w="1863"/>
        <w:gridCol w:w="1829"/>
        <w:gridCol w:w="1687"/>
        <w:gridCol w:w="2027"/>
        <w:gridCol w:w="2035"/>
        <w:gridCol w:w="1687"/>
        <w:gridCol w:w="1687"/>
        <w:gridCol w:w="1687"/>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lastRenderedPageBreak/>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TRIBUTO AMBIENTALE SU RUOLI TIA</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28.918,67</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8E2433" w:rsidRDefault="008E2433">
      <w:r>
        <w:t>Nulla viene più iscritto in bilancio perché dal 1° gennaio 2014, in recepimento a quanto disposto dalla Legge di stabilità 2014 n.147/2013, che pone in capo ai Comuni la competenza in materia di riscossione della tassa sui rifiuti TARI, nel bilancio consortile non confluisce più nessun tipo di entrata e conseguentemente di spesa di carattere tributario, ne consegue che il TEFA di competenza dei ruoli TARI gestiti dal Consorzio per conto dei Comuni di Stresa e Crevoladossola viene iscritto in entrata ed in uscita nei bilanci delle singole amministrazioni.</w:t>
      </w:r>
    </w:p>
    <w:p w:rsidR="00816AF2" w:rsidRDefault="00816AF2"/>
    <w:tbl>
      <w:tblPr>
        <w:tblStyle w:val="Grigliachiara-Colore5"/>
        <w:tblW w:w="5000" w:type="auto"/>
        <w:tblLook w:val="0680" w:firstRow="0" w:lastRow="0" w:firstColumn="1" w:lastColumn="0" w:noHBand="1" w:noVBand="1"/>
      </w:tblPr>
      <w:tblGrid>
        <w:gridCol w:w="1848"/>
        <w:gridCol w:w="1772"/>
        <w:gridCol w:w="1772"/>
        <w:gridCol w:w="2104"/>
        <w:gridCol w:w="2023"/>
        <w:gridCol w:w="1661"/>
        <w:gridCol w:w="1661"/>
        <w:gridCol w:w="1661"/>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INTERESSI SU ANTIICPAZIONI DI CASSA</w:t>
            </w:r>
            <w:r w:rsidR="0005360B">
              <w:rPr>
                <w:rFonts w:ascii="Calibri" w:hAnsi="Calibri" w:cs="Calibri"/>
                <w:sz w:val="24"/>
                <w:szCs w:val="24"/>
              </w:rPr>
              <w:t>/RITARDATO PAGAMENTO PEF TARI CREVOLADOSSOLA</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6.000,00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05360B" w:rsidRDefault="0005360B" w:rsidP="0005360B">
      <w:pPr>
        <w:widowControl w:val="0"/>
        <w:tabs>
          <w:tab w:val="left" w:pos="3686"/>
        </w:tabs>
        <w:spacing w:line="360" w:lineRule="auto"/>
        <w:rPr>
          <w:rFonts w:cs="Tahoma"/>
        </w:rPr>
      </w:pPr>
      <w:r w:rsidRPr="00612D37">
        <w:rPr>
          <w:rFonts w:cs="Tahoma"/>
          <w:b/>
        </w:rPr>
        <w:t>Descrizione attività:</w:t>
      </w:r>
      <w:r>
        <w:rPr>
          <w:rFonts w:cs="Tahoma"/>
        </w:rPr>
        <w:t xml:space="preserve"> v</w:t>
      </w:r>
      <w:r w:rsidRPr="00612D37">
        <w:rPr>
          <w:rFonts w:cs="Tahoma"/>
        </w:rPr>
        <w:t>engono inserite</w:t>
      </w:r>
      <w:r>
        <w:rPr>
          <w:rFonts w:cs="Tahoma"/>
        </w:rPr>
        <w:t>:</w:t>
      </w:r>
    </w:p>
    <w:p w:rsidR="0005360B" w:rsidRDefault="0005360B" w:rsidP="0005360B">
      <w:pPr>
        <w:widowControl w:val="0"/>
        <w:tabs>
          <w:tab w:val="left" w:pos="3686"/>
        </w:tabs>
        <w:spacing w:line="360" w:lineRule="auto"/>
        <w:rPr>
          <w:rFonts w:cs="Tahoma"/>
        </w:rPr>
      </w:pPr>
      <w:r w:rsidRPr="00612D37">
        <w:rPr>
          <w:rFonts w:cs="Tahoma"/>
        </w:rPr>
        <w:t xml:space="preserve"> </w:t>
      </w:r>
      <w:r>
        <w:rPr>
          <w:rFonts w:cs="Tahoma"/>
        </w:rPr>
        <w:t>-</w:t>
      </w:r>
      <w:r w:rsidRPr="00612D37">
        <w:rPr>
          <w:rFonts w:cs="Tahoma"/>
        </w:rPr>
        <w:t xml:space="preserve">le </w:t>
      </w:r>
      <w:r>
        <w:rPr>
          <w:rFonts w:cs="Tahoma"/>
        </w:rPr>
        <w:t xml:space="preserve">eventuali </w:t>
      </w:r>
      <w:r w:rsidRPr="00612D37">
        <w:rPr>
          <w:rFonts w:cs="Tahoma"/>
        </w:rPr>
        <w:t>spese per interessi</w:t>
      </w:r>
      <w:r>
        <w:rPr>
          <w:rFonts w:cs="Tahoma"/>
        </w:rPr>
        <w:t xml:space="preserve"> relativi all’anticipazione di cassa per €2.000,00;</w:t>
      </w:r>
    </w:p>
    <w:p w:rsidR="0005360B" w:rsidRPr="00612D37" w:rsidRDefault="0005360B" w:rsidP="0005360B">
      <w:pPr>
        <w:widowControl w:val="0"/>
        <w:tabs>
          <w:tab w:val="left" w:pos="3686"/>
        </w:tabs>
        <w:spacing w:line="360" w:lineRule="auto"/>
        <w:rPr>
          <w:rFonts w:cs="Tahoma"/>
        </w:rPr>
      </w:pPr>
      <w:r>
        <w:rPr>
          <w:rFonts w:cs="Tahoma"/>
        </w:rPr>
        <w:t xml:space="preserve">-le eventuali spese, quantificate in €1.000,00, per interessi per ritardato pagamento applicati dal gestore ConSerVCO SpA e relativi alle spese previste nel Piano Finanziario TARI del Comune di Crevoladossola </w:t>
      </w:r>
      <w:r w:rsidRPr="00612D37">
        <w:rPr>
          <w:rFonts w:cs="Tahoma"/>
        </w:rPr>
        <w:t>per i</w:t>
      </w:r>
      <w:r>
        <w:rPr>
          <w:rFonts w:cs="Tahoma"/>
        </w:rPr>
        <w:t>l quale</w:t>
      </w:r>
      <w:r w:rsidRPr="00612D37">
        <w:rPr>
          <w:rFonts w:cs="Tahoma"/>
        </w:rPr>
        <w:t xml:space="preserve"> il Consorzio tiene la gestione del</w:t>
      </w:r>
      <w:r>
        <w:rPr>
          <w:rFonts w:cs="Tahoma"/>
        </w:rPr>
        <w:t xml:space="preserve"> tributo; la copertura in entrata è garantita dal  trasferimento di</w:t>
      </w:r>
      <w:r w:rsidR="00DE34F3">
        <w:rPr>
          <w:rFonts w:cs="Tahoma"/>
        </w:rPr>
        <w:t xml:space="preserve"> </w:t>
      </w:r>
      <w:r>
        <w:rPr>
          <w:rFonts w:cs="Tahoma"/>
        </w:rPr>
        <w:t>pari importo da parte del Comune di Crevoladossola.</w:t>
      </w:r>
    </w:p>
    <w:p w:rsidR="0005360B" w:rsidRDefault="0005360B" w:rsidP="0005360B">
      <w:r w:rsidRPr="00612D37">
        <w:rPr>
          <w:b/>
        </w:rPr>
        <w:t xml:space="preserve">Finalità da conseguire: </w:t>
      </w:r>
      <w:r>
        <w:t>m</w:t>
      </w:r>
      <w:r w:rsidRPr="00612D37">
        <w:t>onitoraggio dei costi preventivati.</w:t>
      </w:r>
    </w:p>
    <w:p w:rsidR="00816AF2" w:rsidRDefault="00816AF2"/>
    <w:tbl>
      <w:tblPr>
        <w:tblStyle w:val="Grigliachiara-Colore5"/>
        <w:tblW w:w="0" w:type="auto"/>
        <w:tblLook w:val="0680" w:firstRow="0" w:lastRow="0" w:firstColumn="1" w:lastColumn="0" w:noHBand="1" w:noVBand="1"/>
      </w:tblPr>
      <w:tblGrid>
        <w:gridCol w:w="2600"/>
        <w:gridCol w:w="1831"/>
        <w:gridCol w:w="1831"/>
        <w:gridCol w:w="1831"/>
        <w:gridCol w:w="1831"/>
        <w:gridCol w:w="1526"/>
        <w:gridCol w:w="1526"/>
        <w:gridCol w:w="1526"/>
      </w:tblGrid>
      <w:tr w:rsidR="00816AF2" w:rsidTr="008C0EB1">
        <w:tc>
          <w:tcPr>
            <w:cnfStyle w:val="001000000000" w:firstRow="0" w:lastRow="0" w:firstColumn="1" w:lastColumn="0" w:oddVBand="0" w:evenVBand="0" w:oddHBand="0" w:evenHBand="0" w:firstRowFirstColumn="0" w:firstRowLastColumn="0" w:lastRowFirstColumn="0" w:lastRowLastColumn="0"/>
            <w:tcW w:w="2600" w:type="dxa"/>
            <w:vMerge w:val="restart"/>
          </w:tcPr>
          <w:p w:rsidR="00816AF2" w:rsidRDefault="00A05F67">
            <w:pPr>
              <w:jc w:val="center"/>
            </w:pPr>
            <w:r>
              <w:rPr>
                <w:rFonts w:ascii="Calibri" w:hAnsi="Calibri" w:cs="Calibri"/>
                <w:i/>
                <w:sz w:val="24"/>
                <w:szCs w:val="24"/>
              </w:rPr>
              <w:t>Tot</w:t>
            </w:r>
            <w:r w:rsidR="00DE34F3">
              <w:rPr>
                <w:rFonts w:ascii="Calibri" w:hAnsi="Calibri" w:cs="Calibri"/>
                <w:i/>
                <w:sz w:val="24"/>
                <w:szCs w:val="24"/>
              </w:rPr>
              <w:t xml:space="preserve">ale Spese Previste </w:t>
            </w:r>
          </w:p>
        </w:tc>
        <w:tc>
          <w:tcPr>
            <w:tcW w:w="1831"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1831"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1831"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1831"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1526"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1526"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1526"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C0EB1">
        <w:tc>
          <w:tcPr>
            <w:cnfStyle w:val="001000000000" w:firstRow="0" w:lastRow="0" w:firstColumn="1" w:lastColumn="0" w:oddVBand="0" w:evenVBand="0" w:oddHBand="0" w:evenHBand="0" w:firstRowFirstColumn="0" w:firstRowLastColumn="0" w:lastRowFirstColumn="0" w:lastRowLastColumn="0"/>
            <w:tcW w:w="2600" w:type="dxa"/>
            <w:vMerge/>
          </w:tcPr>
          <w:p w:rsidR="00816AF2" w:rsidRDefault="00816AF2"/>
        </w:tc>
        <w:tc>
          <w:tcPr>
            <w:tcW w:w="1831"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3.689.867,41</w:t>
            </w:r>
          </w:p>
        </w:tc>
        <w:tc>
          <w:tcPr>
            <w:tcW w:w="1831"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2.668.792,19</w:t>
            </w:r>
          </w:p>
        </w:tc>
        <w:tc>
          <w:tcPr>
            <w:tcW w:w="1831"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2.671.130,59</w:t>
            </w:r>
          </w:p>
        </w:tc>
        <w:tc>
          <w:tcPr>
            <w:tcW w:w="1831"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2.671.130,59</w:t>
            </w:r>
          </w:p>
        </w:tc>
        <w:tc>
          <w:tcPr>
            <w:tcW w:w="1526"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1526"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1526"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r w:rsidR="008C0EB1" w:rsidTr="008C0EB1">
        <w:tc>
          <w:tcPr>
            <w:cnfStyle w:val="001000000000" w:firstRow="0" w:lastRow="0" w:firstColumn="1" w:lastColumn="0" w:oddVBand="0" w:evenVBand="0" w:oddHBand="0" w:evenHBand="0" w:firstRowFirstColumn="0" w:firstRowLastColumn="0" w:lastRowFirstColumn="0" w:lastRowLastColumn="0"/>
            <w:tcW w:w="14502" w:type="dxa"/>
            <w:gridSpan w:val="8"/>
            <w:tcBorders>
              <w:left w:val="none" w:sz="2" w:space="0" w:color="FFFFFF"/>
              <w:right w:val="none" w:sz="2" w:space="0" w:color="FFFFFF"/>
            </w:tcBorders>
          </w:tcPr>
          <w:p w:rsidR="008C0EB1" w:rsidRDefault="008C0EB1" w:rsidP="00BF363E">
            <w:pPr>
              <w:jc w:val="center"/>
            </w:pPr>
            <w:r>
              <w:rPr>
                <w:rFonts w:ascii="Calibri" w:hAnsi="Calibri" w:cs="Calibri"/>
                <w:sz w:val="24"/>
                <w:szCs w:val="24"/>
              </w:rPr>
              <w:lastRenderedPageBreak/>
              <w:t>Missione: 20 - Fondi e accantonamenti</w:t>
            </w:r>
          </w:p>
        </w:tc>
      </w:tr>
      <w:tr w:rsidR="008C0EB1" w:rsidTr="008C0EB1">
        <w:tc>
          <w:tcPr>
            <w:cnfStyle w:val="001000000000" w:firstRow="0" w:lastRow="0" w:firstColumn="1" w:lastColumn="0" w:oddVBand="0" w:evenVBand="0" w:oddHBand="0" w:evenHBand="0" w:firstRowFirstColumn="0" w:firstRowLastColumn="0" w:lastRowFirstColumn="0" w:lastRowLastColumn="0"/>
            <w:tcW w:w="14502" w:type="dxa"/>
            <w:gridSpan w:val="8"/>
            <w:tcBorders>
              <w:left w:val="none" w:sz="2" w:space="0" w:color="FFFFFF"/>
              <w:right w:val="none" w:sz="2" w:space="0" w:color="FFFFFF"/>
            </w:tcBorders>
          </w:tcPr>
          <w:p w:rsidR="008C0EB1" w:rsidRDefault="008C0EB1" w:rsidP="00BF363E">
            <w:pPr>
              <w:jc w:val="center"/>
            </w:pPr>
            <w:r>
              <w:rPr>
                <w:rFonts w:ascii="Calibri" w:hAnsi="Calibri" w:cs="Calibri"/>
                <w:sz w:val="24"/>
                <w:szCs w:val="24"/>
              </w:rPr>
              <w:t>Programma: 01 - Fondo di riserva</w:t>
            </w:r>
          </w:p>
        </w:tc>
      </w:tr>
    </w:tbl>
    <w:p w:rsidR="008C0EB1" w:rsidRDefault="008C0EB1" w:rsidP="008C0EB1"/>
    <w:tbl>
      <w:tblPr>
        <w:tblStyle w:val="Grigliachiara-Colore5"/>
        <w:tblW w:w="5000" w:type="auto"/>
        <w:tblLook w:val="0680" w:firstRow="0" w:lastRow="0" w:firstColumn="1" w:lastColumn="0" w:noHBand="1" w:noVBand="1"/>
      </w:tblPr>
      <w:tblGrid>
        <w:gridCol w:w="3975"/>
        <w:gridCol w:w="10485"/>
      </w:tblGrid>
      <w:tr w:rsidR="008C0EB1" w:rsidTr="00BF363E">
        <w:tc>
          <w:tcPr>
            <w:cnfStyle w:val="001000000000" w:firstRow="0" w:lastRow="0" w:firstColumn="1" w:lastColumn="0" w:oddVBand="0" w:evenVBand="0" w:oddHBand="0" w:evenHBand="0" w:firstRowFirstColumn="0" w:firstRowLastColumn="0" w:lastRowFirstColumn="0" w:lastRowLastColumn="0"/>
            <w:tcW w:w="3975" w:type="dxa"/>
          </w:tcPr>
          <w:p w:rsidR="008C0EB1" w:rsidRDefault="008C0EB1" w:rsidP="00BF363E">
            <w:pPr>
              <w:jc w:val="center"/>
            </w:pPr>
            <w:r>
              <w:rPr>
                <w:rFonts w:ascii="Calibri" w:hAnsi="Calibri" w:cs="Calibri"/>
                <w:sz w:val="24"/>
                <w:szCs w:val="24"/>
              </w:rPr>
              <w:t>Sotto-tema Strategico</w:t>
            </w:r>
          </w:p>
        </w:tc>
        <w:tc>
          <w:tcPr>
            <w:tcW w:w="1048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Qualificazione dei sistemi di programmazione e controllo e revisione sistemi di gestione contabile</w:t>
            </w:r>
          </w:p>
        </w:tc>
      </w:tr>
    </w:tbl>
    <w:p w:rsidR="008C0EB1" w:rsidRDefault="008C0EB1" w:rsidP="008C0EB1"/>
    <w:tbl>
      <w:tblPr>
        <w:tblStyle w:val="Grigliachiara-Colore5"/>
        <w:tblW w:w="5000" w:type="auto"/>
        <w:tblLook w:val="0680" w:firstRow="0" w:lastRow="0" w:firstColumn="1" w:lastColumn="0" w:noHBand="1" w:noVBand="1"/>
      </w:tblPr>
      <w:tblGrid>
        <w:gridCol w:w="1849"/>
        <w:gridCol w:w="1685"/>
        <w:gridCol w:w="1811"/>
        <w:gridCol w:w="2144"/>
        <w:gridCol w:w="2024"/>
        <w:gridCol w:w="1663"/>
        <w:gridCol w:w="1663"/>
        <w:gridCol w:w="1663"/>
      </w:tblGrid>
      <w:tr w:rsidR="008C0EB1" w:rsidTr="00BF363E">
        <w:tc>
          <w:tcPr>
            <w:cnfStyle w:val="001000000000" w:firstRow="0" w:lastRow="0" w:firstColumn="1" w:lastColumn="0" w:oddVBand="0" w:evenVBand="0" w:oddHBand="0" w:evenHBand="0" w:firstRowFirstColumn="0" w:firstRowLastColumn="0" w:lastRowFirstColumn="0" w:lastRowLastColumn="0"/>
            <w:tcW w:w="2265" w:type="dxa"/>
            <w:vAlign w:val="center"/>
          </w:tcPr>
          <w:p w:rsidR="008C0EB1" w:rsidRDefault="008C0EB1" w:rsidP="00BF363E">
            <w:pPr>
              <w:jc w:val="center"/>
            </w:pPr>
            <w:r>
              <w:rPr>
                <w:rFonts w:ascii="Calibri" w:hAnsi="Calibri" w:cs="Calibri"/>
                <w:i/>
                <w:sz w:val="24"/>
                <w:szCs w:val="24"/>
              </w:rPr>
              <w:t>Struttura</w:t>
            </w:r>
          </w:p>
        </w:tc>
        <w:tc>
          <w:tcPr>
            <w:tcW w:w="7320" w:type="dxa"/>
            <w:gridSpan w:val="3"/>
            <w:vAlign w:val="center"/>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2310" w:type="dxa"/>
            <w:vAlign w:val="center"/>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C0EB1" w:rsidTr="00BF363E">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C0EB1" w:rsidRDefault="008C0EB1" w:rsidP="00BF363E">
            <w:pPr>
              <w:jc w:val="center"/>
            </w:pPr>
            <w:r>
              <w:rPr>
                <w:rFonts w:ascii="Calibri" w:hAnsi="Calibri" w:cs="Calibri"/>
                <w:i/>
                <w:sz w:val="24"/>
                <w:szCs w:val="24"/>
              </w:rPr>
              <w:t>Spese Previste</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C0EB1" w:rsidTr="00BF363E">
        <w:tc>
          <w:tcPr>
            <w:cnfStyle w:val="001000000000" w:firstRow="0" w:lastRow="0" w:firstColumn="1" w:lastColumn="0" w:oddVBand="0" w:evenVBand="0" w:oddHBand="0" w:evenHBand="0" w:firstRowFirstColumn="0" w:firstRowLastColumn="0" w:lastRowFirstColumn="0" w:lastRowLastColumn="0"/>
            <w:tcW w:w="2265" w:type="dxa"/>
            <w:vMerge/>
          </w:tcPr>
          <w:p w:rsidR="008C0EB1" w:rsidRDefault="008C0EB1" w:rsidP="00BF363E"/>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13.500,00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13.500,00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13.500,00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C0EB1" w:rsidRDefault="008C0EB1" w:rsidP="008C0EB1"/>
    <w:p w:rsidR="008C0EB1" w:rsidRDefault="008C0EB1" w:rsidP="008C0EB1"/>
    <w:tbl>
      <w:tblPr>
        <w:tblStyle w:val="Grigliachiara-Colore5"/>
        <w:tblW w:w="5000" w:type="auto"/>
        <w:tblLook w:val="0680" w:firstRow="0" w:lastRow="0" w:firstColumn="1" w:lastColumn="0" w:noHBand="1" w:noVBand="1"/>
      </w:tblPr>
      <w:tblGrid>
        <w:gridCol w:w="1849"/>
        <w:gridCol w:w="1685"/>
        <w:gridCol w:w="1811"/>
        <w:gridCol w:w="2144"/>
        <w:gridCol w:w="2024"/>
        <w:gridCol w:w="1663"/>
        <w:gridCol w:w="1663"/>
        <w:gridCol w:w="1663"/>
      </w:tblGrid>
      <w:tr w:rsidR="008C0EB1" w:rsidTr="00BF363E">
        <w:tc>
          <w:tcPr>
            <w:cnfStyle w:val="001000000000" w:firstRow="0" w:lastRow="0" w:firstColumn="1" w:lastColumn="0" w:oddVBand="0" w:evenVBand="0" w:oddHBand="0" w:evenHBand="0" w:firstRowFirstColumn="0" w:firstRowLastColumn="0" w:lastRowFirstColumn="0" w:lastRowLastColumn="0"/>
            <w:tcW w:w="2265" w:type="dxa"/>
            <w:vAlign w:val="center"/>
          </w:tcPr>
          <w:p w:rsidR="008C0EB1" w:rsidRDefault="008C0EB1" w:rsidP="00BF363E">
            <w:pPr>
              <w:jc w:val="center"/>
            </w:pPr>
            <w:r>
              <w:rPr>
                <w:rFonts w:ascii="Calibri" w:hAnsi="Calibri" w:cs="Calibri"/>
                <w:i/>
                <w:sz w:val="24"/>
                <w:szCs w:val="24"/>
              </w:rPr>
              <w:t>Struttura</w:t>
            </w:r>
          </w:p>
        </w:tc>
        <w:tc>
          <w:tcPr>
            <w:tcW w:w="7320" w:type="dxa"/>
            <w:gridSpan w:val="3"/>
            <w:vAlign w:val="center"/>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FONDO DI RISERVA</w:t>
            </w:r>
          </w:p>
        </w:tc>
        <w:tc>
          <w:tcPr>
            <w:tcW w:w="2310" w:type="dxa"/>
            <w:vAlign w:val="center"/>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C0EB1" w:rsidTr="00BF363E">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C0EB1" w:rsidRDefault="008C0EB1" w:rsidP="00BF363E">
            <w:pPr>
              <w:jc w:val="center"/>
            </w:pPr>
            <w:r>
              <w:rPr>
                <w:rFonts w:ascii="Calibri" w:hAnsi="Calibri" w:cs="Calibri"/>
                <w:i/>
                <w:sz w:val="24"/>
                <w:szCs w:val="24"/>
              </w:rPr>
              <w:t>Spese Previste</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C0EB1" w:rsidTr="00BF363E">
        <w:tc>
          <w:tcPr>
            <w:cnfStyle w:val="001000000000" w:firstRow="0" w:lastRow="0" w:firstColumn="1" w:lastColumn="0" w:oddVBand="0" w:evenVBand="0" w:oddHBand="0" w:evenHBand="0" w:firstRowFirstColumn="0" w:firstRowLastColumn="0" w:lastRowFirstColumn="0" w:lastRowLastColumn="0"/>
            <w:tcW w:w="2265" w:type="dxa"/>
            <w:vMerge/>
          </w:tcPr>
          <w:p w:rsidR="008C0EB1" w:rsidRDefault="008C0EB1" w:rsidP="00BF363E"/>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13.800,00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13.800,00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13.800,00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C0EB1" w:rsidRDefault="008C0EB1" w:rsidP="008C0EB1"/>
    <w:p w:rsidR="008C0EB1" w:rsidRDefault="008C0EB1" w:rsidP="008C0EB1"/>
    <w:tbl>
      <w:tblPr>
        <w:tblStyle w:val="Grigliachiara-Colore5"/>
        <w:tblW w:w="5000" w:type="auto"/>
        <w:tblLook w:val="0680" w:firstRow="0" w:lastRow="0" w:firstColumn="1" w:lastColumn="0" w:noHBand="1" w:noVBand="1"/>
      </w:tblPr>
      <w:tblGrid>
        <w:gridCol w:w="3059"/>
        <w:gridCol w:w="1581"/>
        <w:gridCol w:w="1735"/>
        <w:gridCol w:w="1734"/>
        <w:gridCol w:w="1734"/>
        <w:gridCol w:w="1553"/>
        <w:gridCol w:w="1553"/>
        <w:gridCol w:w="1553"/>
      </w:tblGrid>
      <w:tr w:rsidR="008C0EB1" w:rsidTr="00BF363E">
        <w:tc>
          <w:tcPr>
            <w:cnfStyle w:val="001000000000" w:firstRow="0" w:lastRow="0" w:firstColumn="1" w:lastColumn="0" w:oddVBand="0" w:evenVBand="0" w:oddHBand="0" w:evenHBand="0" w:firstRowFirstColumn="0" w:firstRowLastColumn="0" w:lastRowFirstColumn="0" w:lastRowLastColumn="0"/>
            <w:tcW w:w="3975" w:type="dxa"/>
            <w:vMerge w:val="restart"/>
          </w:tcPr>
          <w:p w:rsidR="008C0EB1" w:rsidRDefault="008C0EB1" w:rsidP="00BF363E">
            <w:pPr>
              <w:jc w:val="center"/>
            </w:pPr>
            <w:r>
              <w:rPr>
                <w:rFonts w:ascii="Calibri" w:hAnsi="Calibri" w:cs="Calibri"/>
                <w:i/>
                <w:sz w:val="24"/>
                <w:szCs w:val="24"/>
              </w:rPr>
              <w:t>Totale Spese Previste - Qualificazione dei sistemi di programmazione e controllo e revisione sistemi di gestione contabile</w:t>
            </w:r>
          </w:p>
        </w:tc>
        <w:tc>
          <w:tcPr>
            <w:tcW w:w="2310"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310"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310"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310"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C0EB1" w:rsidTr="00BF363E">
        <w:tc>
          <w:tcPr>
            <w:cnfStyle w:val="001000000000" w:firstRow="0" w:lastRow="0" w:firstColumn="1" w:lastColumn="0" w:oddVBand="0" w:evenVBand="0" w:oddHBand="0" w:evenHBand="0" w:firstRowFirstColumn="0" w:firstRowLastColumn="0" w:lastRowFirstColumn="0" w:lastRowLastColumn="0"/>
            <w:tcW w:w="2310" w:type="dxa"/>
            <w:vMerge/>
          </w:tcPr>
          <w:p w:rsidR="008C0EB1" w:rsidRDefault="008C0EB1" w:rsidP="00BF363E"/>
        </w:tc>
        <w:tc>
          <w:tcPr>
            <w:tcW w:w="2310" w:type="dxa"/>
            <w:vAlign w:val="center"/>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27.300,00</w:t>
            </w:r>
          </w:p>
        </w:tc>
        <w:tc>
          <w:tcPr>
            <w:tcW w:w="2310" w:type="dxa"/>
            <w:vAlign w:val="center"/>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27.300,00</w:t>
            </w:r>
          </w:p>
        </w:tc>
        <w:tc>
          <w:tcPr>
            <w:tcW w:w="2310" w:type="dxa"/>
            <w:vAlign w:val="center"/>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27.300,00</w:t>
            </w:r>
          </w:p>
        </w:tc>
        <w:tc>
          <w:tcPr>
            <w:tcW w:w="2310" w:type="dxa"/>
            <w:vAlign w:val="center"/>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C0EB1" w:rsidRDefault="008C0EB1" w:rsidP="008C0EB1"/>
    <w:p w:rsidR="008C0EB1" w:rsidRDefault="008C0EB1" w:rsidP="008C0EB1">
      <w:r>
        <w:br w:type="page"/>
      </w:r>
    </w:p>
    <w:tbl>
      <w:tblPr>
        <w:tblStyle w:val="Grigliachiara-Colore5"/>
        <w:tblW w:w="5000" w:type="pct"/>
        <w:tblLook w:val="0680" w:firstRow="0" w:lastRow="0" w:firstColumn="1" w:lastColumn="0" w:noHBand="1" w:noVBand="1"/>
      </w:tblPr>
      <w:tblGrid>
        <w:gridCol w:w="14502"/>
      </w:tblGrid>
      <w:tr w:rsidR="008C0EB1" w:rsidTr="00BF363E">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C0EB1" w:rsidRDefault="008C0EB1" w:rsidP="00BF363E">
            <w:pPr>
              <w:jc w:val="center"/>
            </w:pPr>
            <w:r>
              <w:rPr>
                <w:rFonts w:ascii="Calibri" w:hAnsi="Calibri" w:cs="Calibri"/>
                <w:sz w:val="24"/>
                <w:szCs w:val="24"/>
              </w:rPr>
              <w:lastRenderedPageBreak/>
              <w:t>Missione: 20 - Fondi e accantonamenti</w:t>
            </w:r>
          </w:p>
        </w:tc>
      </w:tr>
      <w:tr w:rsidR="008C0EB1" w:rsidTr="00BF363E">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C0EB1" w:rsidRDefault="008C0EB1" w:rsidP="00BF363E">
            <w:pPr>
              <w:jc w:val="center"/>
            </w:pPr>
            <w:r>
              <w:rPr>
                <w:rFonts w:ascii="Calibri" w:hAnsi="Calibri" w:cs="Calibri"/>
                <w:sz w:val="24"/>
                <w:szCs w:val="24"/>
              </w:rPr>
              <w:t>Programma: 02 - Fondo svalutazione crediti</w:t>
            </w:r>
          </w:p>
        </w:tc>
      </w:tr>
    </w:tbl>
    <w:p w:rsidR="008C0EB1" w:rsidRDefault="008C0EB1" w:rsidP="008C0EB1"/>
    <w:tbl>
      <w:tblPr>
        <w:tblStyle w:val="Grigliachiara-Colore5"/>
        <w:tblW w:w="5000" w:type="auto"/>
        <w:tblLook w:val="0680" w:firstRow="0" w:lastRow="0" w:firstColumn="1" w:lastColumn="0" w:noHBand="1" w:noVBand="1"/>
      </w:tblPr>
      <w:tblGrid>
        <w:gridCol w:w="3975"/>
        <w:gridCol w:w="10485"/>
      </w:tblGrid>
      <w:tr w:rsidR="008C0EB1" w:rsidTr="00BF363E">
        <w:tc>
          <w:tcPr>
            <w:cnfStyle w:val="001000000000" w:firstRow="0" w:lastRow="0" w:firstColumn="1" w:lastColumn="0" w:oddVBand="0" w:evenVBand="0" w:oddHBand="0" w:evenHBand="0" w:firstRowFirstColumn="0" w:firstRowLastColumn="0" w:lastRowFirstColumn="0" w:lastRowLastColumn="0"/>
            <w:tcW w:w="3975" w:type="dxa"/>
          </w:tcPr>
          <w:p w:rsidR="008C0EB1" w:rsidRDefault="008C0EB1" w:rsidP="00BF363E">
            <w:pPr>
              <w:jc w:val="center"/>
            </w:pPr>
            <w:r>
              <w:rPr>
                <w:rFonts w:ascii="Calibri" w:hAnsi="Calibri" w:cs="Calibri"/>
                <w:sz w:val="24"/>
                <w:szCs w:val="24"/>
              </w:rPr>
              <w:t>Sotto-tema Strategico</w:t>
            </w:r>
          </w:p>
        </w:tc>
        <w:tc>
          <w:tcPr>
            <w:tcW w:w="1048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Qualificazione dei sistemi di programmazione e controllo e revisione sistemi di gestione contabile</w:t>
            </w:r>
          </w:p>
        </w:tc>
      </w:tr>
    </w:tbl>
    <w:p w:rsidR="008C0EB1" w:rsidRDefault="008C0EB1" w:rsidP="008C0EB1"/>
    <w:tbl>
      <w:tblPr>
        <w:tblStyle w:val="Grigliachiara-Colore5"/>
        <w:tblW w:w="5000" w:type="auto"/>
        <w:tblLook w:val="0680" w:firstRow="0" w:lastRow="0" w:firstColumn="1" w:lastColumn="0" w:noHBand="1" w:noVBand="1"/>
      </w:tblPr>
      <w:tblGrid>
        <w:gridCol w:w="1849"/>
        <w:gridCol w:w="1685"/>
        <w:gridCol w:w="1811"/>
        <w:gridCol w:w="2144"/>
        <w:gridCol w:w="2024"/>
        <w:gridCol w:w="1663"/>
        <w:gridCol w:w="1663"/>
        <w:gridCol w:w="1663"/>
      </w:tblGrid>
      <w:tr w:rsidR="008C0EB1" w:rsidTr="00BF363E">
        <w:tc>
          <w:tcPr>
            <w:cnfStyle w:val="001000000000" w:firstRow="0" w:lastRow="0" w:firstColumn="1" w:lastColumn="0" w:oddVBand="0" w:evenVBand="0" w:oddHBand="0" w:evenHBand="0" w:firstRowFirstColumn="0" w:firstRowLastColumn="0" w:lastRowFirstColumn="0" w:lastRowLastColumn="0"/>
            <w:tcW w:w="2265" w:type="dxa"/>
            <w:vAlign w:val="center"/>
          </w:tcPr>
          <w:p w:rsidR="008C0EB1" w:rsidRDefault="008C0EB1" w:rsidP="00BF363E">
            <w:pPr>
              <w:jc w:val="center"/>
            </w:pPr>
            <w:r>
              <w:rPr>
                <w:rFonts w:ascii="Calibri" w:hAnsi="Calibri" w:cs="Calibri"/>
                <w:i/>
                <w:sz w:val="24"/>
                <w:szCs w:val="24"/>
              </w:rPr>
              <w:t>Struttura</w:t>
            </w:r>
          </w:p>
        </w:tc>
        <w:tc>
          <w:tcPr>
            <w:tcW w:w="7320" w:type="dxa"/>
            <w:gridSpan w:val="3"/>
            <w:vAlign w:val="center"/>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2310" w:type="dxa"/>
            <w:vAlign w:val="center"/>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C0EB1" w:rsidTr="00BF363E">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C0EB1" w:rsidRDefault="008C0EB1" w:rsidP="00BF363E">
            <w:pPr>
              <w:jc w:val="center"/>
            </w:pPr>
            <w:r>
              <w:rPr>
                <w:rFonts w:ascii="Calibri" w:hAnsi="Calibri" w:cs="Calibri"/>
                <w:i/>
                <w:sz w:val="24"/>
                <w:szCs w:val="24"/>
              </w:rPr>
              <w:t>Spese Previste</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C0EB1" w:rsidTr="00BF363E">
        <w:tc>
          <w:tcPr>
            <w:cnfStyle w:val="001000000000" w:firstRow="0" w:lastRow="0" w:firstColumn="1" w:lastColumn="0" w:oddVBand="0" w:evenVBand="0" w:oddHBand="0" w:evenHBand="0" w:firstRowFirstColumn="0" w:firstRowLastColumn="0" w:lastRowFirstColumn="0" w:lastRowLastColumn="0"/>
            <w:tcW w:w="2265" w:type="dxa"/>
            <w:vMerge/>
          </w:tcPr>
          <w:p w:rsidR="008C0EB1" w:rsidRDefault="008C0EB1" w:rsidP="00BF363E"/>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15.000,00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15.000,00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15.000,00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C0EB1" w:rsidRDefault="008C0EB1" w:rsidP="008C0EB1"/>
    <w:p w:rsidR="008C0EB1" w:rsidRDefault="008C0EB1" w:rsidP="008C0EB1"/>
    <w:tbl>
      <w:tblPr>
        <w:tblStyle w:val="Grigliachiara-Colore5"/>
        <w:tblW w:w="5000" w:type="auto"/>
        <w:tblLook w:val="0680" w:firstRow="0" w:lastRow="0" w:firstColumn="1" w:lastColumn="0" w:noHBand="1" w:noVBand="1"/>
      </w:tblPr>
      <w:tblGrid>
        <w:gridCol w:w="3059"/>
        <w:gridCol w:w="1581"/>
        <w:gridCol w:w="1735"/>
        <w:gridCol w:w="1734"/>
        <w:gridCol w:w="1734"/>
        <w:gridCol w:w="1553"/>
        <w:gridCol w:w="1553"/>
        <w:gridCol w:w="1553"/>
      </w:tblGrid>
      <w:tr w:rsidR="008C0EB1" w:rsidTr="00BF363E">
        <w:tc>
          <w:tcPr>
            <w:cnfStyle w:val="001000000000" w:firstRow="0" w:lastRow="0" w:firstColumn="1" w:lastColumn="0" w:oddVBand="0" w:evenVBand="0" w:oddHBand="0" w:evenHBand="0" w:firstRowFirstColumn="0" w:firstRowLastColumn="0" w:lastRowFirstColumn="0" w:lastRowLastColumn="0"/>
            <w:tcW w:w="3975" w:type="dxa"/>
            <w:vMerge w:val="restart"/>
          </w:tcPr>
          <w:p w:rsidR="008C0EB1" w:rsidRDefault="008C0EB1" w:rsidP="00BF363E">
            <w:pPr>
              <w:jc w:val="center"/>
            </w:pPr>
            <w:r>
              <w:rPr>
                <w:rFonts w:ascii="Calibri" w:hAnsi="Calibri" w:cs="Calibri"/>
                <w:i/>
                <w:sz w:val="24"/>
                <w:szCs w:val="24"/>
              </w:rPr>
              <w:t>Totale Spese Previste - Qualificazione dei sistemi di programmazione e controllo e revisione sistemi di gestione contabile</w:t>
            </w:r>
          </w:p>
        </w:tc>
        <w:tc>
          <w:tcPr>
            <w:tcW w:w="2310"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310"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310"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310" w:type="dxa"/>
          </w:tcPr>
          <w:p w:rsidR="008C0EB1" w:rsidRDefault="008C0EB1" w:rsidP="00BF363E">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C0EB1" w:rsidTr="00BF363E">
        <w:tc>
          <w:tcPr>
            <w:cnfStyle w:val="001000000000" w:firstRow="0" w:lastRow="0" w:firstColumn="1" w:lastColumn="0" w:oddVBand="0" w:evenVBand="0" w:oddHBand="0" w:evenHBand="0" w:firstRowFirstColumn="0" w:firstRowLastColumn="0" w:lastRowFirstColumn="0" w:lastRowLastColumn="0"/>
            <w:tcW w:w="2310" w:type="dxa"/>
            <w:vMerge/>
          </w:tcPr>
          <w:p w:rsidR="008C0EB1" w:rsidRDefault="008C0EB1" w:rsidP="00BF363E"/>
        </w:tc>
        <w:tc>
          <w:tcPr>
            <w:tcW w:w="2310" w:type="dxa"/>
            <w:vAlign w:val="center"/>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15.000,00</w:t>
            </w:r>
          </w:p>
        </w:tc>
        <w:tc>
          <w:tcPr>
            <w:tcW w:w="2310" w:type="dxa"/>
            <w:vAlign w:val="center"/>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15.000,00</w:t>
            </w:r>
          </w:p>
        </w:tc>
        <w:tc>
          <w:tcPr>
            <w:tcW w:w="2310" w:type="dxa"/>
            <w:vAlign w:val="center"/>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15.000,00</w:t>
            </w:r>
          </w:p>
        </w:tc>
        <w:tc>
          <w:tcPr>
            <w:tcW w:w="2310" w:type="dxa"/>
            <w:vAlign w:val="center"/>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C0EB1" w:rsidRDefault="008C0EB1" w:rsidP="00BF363E">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C0EB1" w:rsidRDefault="008C0EB1" w:rsidP="008C0EB1"/>
    <w:p w:rsidR="00816AF2" w:rsidRDefault="00816AF2"/>
    <w:p w:rsidR="008C0EB1" w:rsidRDefault="008C0EB1"/>
    <w:p w:rsidR="008C0EB1" w:rsidRDefault="008C0EB1"/>
    <w:p w:rsidR="008C0EB1" w:rsidRDefault="008C0EB1"/>
    <w:p w:rsidR="008C0EB1" w:rsidRDefault="008C0EB1"/>
    <w:p w:rsidR="008C0EB1" w:rsidRDefault="008C0EB1"/>
    <w:p w:rsidR="008C0EB1" w:rsidRDefault="008C0EB1"/>
    <w:tbl>
      <w:tblPr>
        <w:tblStyle w:val="Grigliachiara-Colore5"/>
        <w:tblW w:w="5000" w:type="pct"/>
        <w:tblLook w:val="0680" w:firstRow="0" w:lastRow="0" w:firstColumn="1" w:lastColumn="0" w:noHBand="1" w:noVBand="1"/>
      </w:tblPr>
      <w:tblGrid>
        <w:gridCol w:w="14502"/>
      </w:tblGrid>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lastRenderedPageBreak/>
              <w:t>Missione: 50 - Debito pubblico</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t>Programma: 02 - Quota capitale ammortamento mutui e prestiti obbligazionari</w:t>
            </w:r>
          </w:p>
        </w:tc>
      </w:tr>
    </w:tbl>
    <w:p w:rsidR="00816AF2" w:rsidRDefault="00816AF2"/>
    <w:tbl>
      <w:tblPr>
        <w:tblStyle w:val="Grigliachiara-Colore5"/>
        <w:tblW w:w="5000" w:type="auto"/>
        <w:tblLook w:val="0680" w:firstRow="0" w:lastRow="0" w:firstColumn="1" w:lastColumn="0" w:noHBand="1" w:noVBand="1"/>
      </w:tblPr>
      <w:tblGrid>
        <w:gridCol w:w="3975"/>
        <w:gridCol w:w="10485"/>
      </w:tblGrid>
      <w:tr w:rsidR="00816AF2" w:rsidTr="00816AF2">
        <w:tc>
          <w:tcPr>
            <w:cnfStyle w:val="001000000000" w:firstRow="0" w:lastRow="0" w:firstColumn="1" w:lastColumn="0" w:oddVBand="0" w:evenVBand="0" w:oddHBand="0" w:evenHBand="0" w:firstRowFirstColumn="0" w:firstRowLastColumn="0" w:lastRowFirstColumn="0" w:lastRowLastColumn="0"/>
            <w:tcW w:w="3975" w:type="dxa"/>
          </w:tcPr>
          <w:p w:rsidR="00816AF2" w:rsidRDefault="00A05F67">
            <w:pPr>
              <w:jc w:val="center"/>
            </w:pPr>
            <w:r>
              <w:rPr>
                <w:rFonts w:ascii="Calibri" w:hAnsi="Calibri" w:cs="Calibri"/>
                <w:sz w:val="24"/>
                <w:szCs w:val="24"/>
              </w:rPr>
              <w:t>Sotto-tema Strategico</w:t>
            </w:r>
          </w:p>
        </w:tc>
        <w:tc>
          <w:tcPr>
            <w:tcW w:w="1048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Qualificazione dei sistemi di programmazione e controllo e revisione sistemi di gestione contabile</w:t>
            </w:r>
          </w:p>
        </w:tc>
      </w:tr>
    </w:tbl>
    <w:p w:rsidR="00816AF2" w:rsidRDefault="00816AF2"/>
    <w:tbl>
      <w:tblPr>
        <w:tblStyle w:val="Grigliachiara-Colore5"/>
        <w:tblW w:w="5000" w:type="auto"/>
        <w:tblLook w:val="0680" w:firstRow="0" w:lastRow="0" w:firstColumn="1" w:lastColumn="0" w:noHBand="1" w:noVBand="1"/>
      </w:tblPr>
      <w:tblGrid>
        <w:gridCol w:w="1834"/>
        <w:gridCol w:w="1797"/>
        <w:gridCol w:w="1797"/>
        <w:gridCol w:w="2124"/>
        <w:gridCol w:w="2015"/>
        <w:gridCol w:w="1645"/>
        <w:gridCol w:w="1645"/>
        <w:gridCol w:w="1645"/>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34.610,00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34.610,00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19.480,76</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8C0EB1" w:rsidRPr="00E21C29" w:rsidRDefault="008C0EB1" w:rsidP="008C0EB1">
      <w:r w:rsidRPr="00E21C29">
        <w:rPr>
          <w:b/>
        </w:rPr>
        <w:t xml:space="preserve">Descrizione generale: </w:t>
      </w:r>
      <w:r w:rsidRPr="00E21C29">
        <w:t>quote capitali su mutui erogati con CDP per realizzazione di opere presso l’Impianto di Termoutilizzazione di Mergozzo. Trattasi di mutui attribuiti al Consorzio nel2004 in sede di trasformazione dell’allora Consorzio Servizi VCO in COB Verbania con contestuale istituzione della Società ConSerVCO SpA.</w:t>
      </w:r>
    </w:p>
    <w:p w:rsidR="008C0EB1" w:rsidRPr="00E21C29" w:rsidRDefault="008C0EB1" w:rsidP="008C0EB1">
      <w:r w:rsidRPr="00E21C29">
        <w:rPr>
          <w:b/>
        </w:rPr>
        <w:t xml:space="preserve">Finalità da conseguire: </w:t>
      </w:r>
      <w:r w:rsidRPr="00E21C29">
        <w:t>L’Ente non prevede l’assunzione di mutui di breve-medio e lungo periodo.</w:t>
      </w:r>
    </w:p>
    <w:p w:rsidR="008C0EB1" w:rsidRDefault="008C0EB1"/>
    <w:tbl>
      <w:tblPr>
        <w:tblStyle w:val="Grigliachiara-Colore5"/>
        <w:tblW w:w="5000" w:type="auto"/>
        <w:tblLook w:val="0680" w:firstRow="0" w:lastRow="0" w:firstColumn="1" w:lastColumn="0" w:noHBand="1" w:noVBand="1"/>
      </w:tblPr>
      <w:tblGrid>
        <w:gridCol w:w="3063"/>
        <w:gridCol w:w="1737"/>
        <w:gridCol w:w="1737"/>
        <w:gridCol w:w="1737"/>
        <w:gridCol w:w="1557"/>
        <w:gridCol w:w="1557"/>
        <w:gridCol w:w="1557"/>
        <w:gridCol w:w="1557"/>
      </w:tblGrid>
      <w:tr w:rsidR="00816AF2" w:rsidTr="00816AF2">
        <w:tc>
          <w:tcPr>
            <w:cnfStyle w:val="001000000000" w:firstRow="0" w:lastRow="0" w:firstColumn="1" w:lastColumn="0" w:oddVBand="0" w:evenVBand="0" w:oddHBand="0" w:evenHBand="0" w:firstRowFirstColumn="0" w:firstRowLastColumn="0" w:lastRowFirstColumn="0" w:lastRowLastColumn="0"/>
            <w:tcW w:w="3975" w:type="dxa"/>
            <w:vMerge w:val="restart"/>
          </w:tcPr>
          <w:p w:rsidR="00816AF2" w:rsidRDefault="00A05F67">
            <w:pPr>
              <w:jc w:val="center"/>
            </w:pPr>
            <w:r>
              <w:rPr>
                <w:rFonts w:ascii="Calibri" w:hAnsi="Calibri" w:cs="Calibri"/>
                <w:i/>
                <w:sz w:val="24"/>
                <w:szCs w:val="24"/>
              </w:rPr>
              <w:t>Totale Spese Previste - Qualificazione dei sistemi di programmazione e controllo e revisione sistemi di gestione contabile</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vMerge/>
          </w:tcPr>
          <w:p w:rsidR="00816AF2" w:rsidRDefault="00816AF2"/>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34.610,00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34.610,00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19.480,76</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816AF2" w:rsidRDefault="00A05F67">
      <w:r>
        <w:br w:type="page"/>
      </w:r>
    </w:p>
    <w:tbl>
      <w:tblPr>
        <w:tblStyle w:val="Grigliachiara-Colore5"/>
        <w:tblW w:w="5000" w:type="pct"/>
        <w:tblLook w:val="0680" w:firstRow="0" w:lastRow="0" w:firstColumn="1" w:lastColumn="0" w:noHBand="1" w:noVBand="1"/>
      </w:tblPr>
      <w:tblGrid>
        <w:gridCol w:w="14502"/>
      </w:tblGrid>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lastRenderedPageBreak/>
              <w:t>Missione: 60 - Anticipazioni finanziarie</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t>Programma: 01 - Restituzione anticipazione di tesoreria</w:t>
            </w:r>
          </w:p>
        </w:tc>
      </w:tr>
    </w:tbl>
    <w:p w:rsidR="00816AF2" w:rsidRDefault="00816AF2"/>
    <w:tbl>
      <w:tblPr>
        <w:tblStyle w:val="Grigliachiara-Colore5"/>
        <w:tblW w:w="5000" w:type="auto"/>
        <w:tblLook w:val="0680" w:firstRow="0" w:lastRow="0" w:firstColumn="1" w:lastColumn="0" w:noHBand="1" w:noVBand="1"/>
      </w:tblPr>
      <w:tblGrid>
        <w:gridCol w:w="3975"/>
        <w:gridCol w:w="10485"/>
      </w:tblGrid>
      <w:tr w:rsidR="00816AF2" w:rsidTr="00816AF2">
        <w:tc>
          <w:tcPr>
            <w:cnfStyle w:val="001000000000" w:firstRow="0" w:lastRow="0" w:firstColumn="1" w:lastColumn="0" w:oddVBand="0" w:evenVBand="0" w:oddHBand="0" w:evenHBand="0" w:firstRowFirstColumn="0" w:firstRowLastColumn="0" w:lastRowFirstColumn="0" w:lastRowLastColumn="0"/>
            <w:tcW w:w="3975" w:type="dxa"/>
          </w:tcPr>
          <w:p w:rsidR="00816AF2" w:rsidRDefault="00A05F67">
            <w:pPr>
              <w:jc w:val="center"/>
            </w:pPr>
            <w:r>
              <w:rPr>
                <w:rFonts w:ascii="Calibri" w:hAnsi="Calibri" w:cs="Calibri"/>
                <w:sz w:val="24"/>
                <w:szCs w:val="24"/>
              </w:rPr>
              <w:t>Sotto-tema Strategico</w:t>
            </w:r>
          </w:p>
        </w:tc>
        <w:tc>
          <w:tcPr>
            <w:tcW w:w="1048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Qualificazione dei sistemi di programmazione e controllo e revisione sistemi di gestione contabile</w:t>
            </w:r>
          </w:p>
        </w:tc>
      </w:tr>
    </w:tbl>
    <w:p w:rsidR="00816AF2" w:rsidRDefault="00816AF2"/>
    <w:tbl>
      <w:tblPr>
        <w:tblStyle w:val="Grigliachiara-Colore5"/>
        <w:tblW w:w="5000" w:type="auto"/>
        <w:tblLook w:val="0680" w:firstRow="0" w:lastRow="0" w:firstColumn="1" w:lastColumn="0" w:noHBand="1" w:noVBand="1"/>
      </w:tblPr>
      <w:tblGrid>
        <w:gridCol w:w="1803"/>
        <w:gridCol w:w="1865"/>
        <w:gridCol w:w="1866"/>
        <w:gridCol w:w="2178"/>
        <w:gridCol w:w="1993"/>
        <w:gridCol w:w="1599"/>
        <w:gridCol w:w="1599"/>
        <w:gridCol w:w="1599"/>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ANTICIPAZIONI DI CASSA</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1.022.644,83</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1.022.644,83</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1.022.000,00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1.022.000,00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8C0EB1" w:rsidRPr="00B13CEC" w:rsidRDefault="008C0EB1" w:rsidP="008C0EB1">
      <w:r w:rsidRPr="00B13CEC">
        <w:rPr>
          <w:b/>
        </w:rPr>
        <w:t xml:space="preserve">Descrizione generale: </w:t>
      </w:r>
      <w:r w:rsidRPr="00B13CEC">
        <w:t>utilizzo dell’anticipazione di cassa nei limiti previsti dalla normativa vigente.</w:t>
      </w:r>
    </w:p>
    <w:p w:rsidR="008C0EB1" w:rsidRPr="00B13CEC" w:rsidRDefault="008C0EB1" w:rsidP="008C0EB1">
      <w:r w:rsidRPr="00B13CEC">
        <w:rPr>
          <w:b/>
        </w:rPr>
        <w:t xml:space="preserve">Finalità da conseguire: </w:t>
      </w:r>
      <w:r w:rsidRPr="00B13CEC">
        <w:t>limitarne l’utilizzo.</w:t>
      </w:r>
    </w:p>
    <w:p w:rsidR="008C0EB1" w:rsidRDefault="008C0EB1"/>
    <w:p w:rsidR="00816AF2" w:rsidRDefault="00816AF2"/>
    <w:tbl>
      <w:tblPr>
        <w:tblStyle w:val="Grigliachiara-Colore5"/>
        <w:tblW w:w="5000" w:type="auto"/>
        <w:tblLook w:val="0680" w:firstRow="0" w:lastRow="0" w:firstColumn="1" w:lastColumn="0" w:noHBand="1" w:noVBand="1"/>
      </w:tblPr>
      <w:tblGrid>
        <w:gridCol w:w="2948"/>
        <w:gridCol w:w="1792"/>
        <w:gridCol w:w="1792"/>
        <w:gridCol w:w="1792"/>
        <w:gridCol w:w="1792"/>
        <w:gridCol w:w="1462"/>
        <w:gridCol w:w="1462"/>
        <w:gridCol w:w="1462"/>
      </w:tblGrid>
      <w:tr w:rsidR="00816AF2" w:rsidTr="00816AF2">
        <w:tc>
          <w:tcPr>
            <w:cnfStyle w:val="001000000000" w:firstRow="0" w:lastRow="0" w:firstColumn="1" w:lastColumn="0" w:oddVBand="0" w:evenVBand="0" w:oddHBand="0" w:evenHBand="0" w:firstRowFirstColumn="0" w:firstRowLastColumn="0" w:lastRowFirstColumn="0" w:lastRowLastColumn="0"/>
            <w:tcW w:w="3975" w:type="dxa"/>
            <w:vMerge w:val="restart"/>
          </w:tcPr>
          <w:p w:rsidR="00816AF2" w:rsidRDefault="00A05F67">
            <w:pPr>
              <w:jc w:val="center"/>
            </w:pPr>
            <w:r>
              <w:rPr>
                <w:rFonts w:ascii="Calibri" w:hAnsi="Calibri" w:cs="Calibri"/>
                <w:i/>
                <w:sz w:val="24"/>
                <w:szCs w:val="24"/>
              </w:rPr>
              <w:t>Totale Spese Previste - Qualificazione dei sistemi di programmazione e controllo e revisione sistemi di gestione contabile</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vMerge/>
          </w:tcPr>
          <w:p w:rsidR="00816AF2" w:rsidRDefault="00816AF2"/>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1.022.644,83</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1.022.644,83</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1.022.000,00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1.022.000,00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816AF2" w:rsidRDefault="00A05F67">
      <w:r>
        <w:br w:type="page"/>
      </w:r>
    </w:p>
    <w:tbl>
      <w:tblPr>
        <w:tblStyle w:val="Grigliachiara-Colore5"/>
        <w:tblW w:w="5000" w:type="pct"/>
        <w:tblLook w:val="0680" w:firstRow="0" w:lastRow="0" w:firstColumn="1" w:lastColumn="0" w:noHBand="1" w:noVBand="1"/>
      </w:tblPr>
      <w:tblGrid>
        <w:gridCol w:w="14502"/>
      </w:tblGrid>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lastRenderedPageBreak/>
              <w:t>Missione: 99 - Servizi per conto terzi</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816AF2" w:rsidRDefault="00A05F67">
            <w:pPr>
              <w:jc w:val="center"/>
            </w:pPr>
            <w:r>
              <w:rPr>
                <w:rFonts w:ascii="Calibri" w:hAnsi="Calibri" w:cs="Calibri"/>
                <w:sz w:val="24"/>
                <w:szCs w:val="24"/>
              </w:rPr>
              <w:t>Programma: 01 - Servizi per conto terzi e Partite di giro</w:t>
            </w:r>
          </w:p>
        </w:tc>
      </w:tr>
    </w:tbl>
    <w:p w:rsidR="00816AF2" w:rsidRDefault="00816AF2"/>
    <w:tbl>
      <w:tblPr>
        <w:tblStyle w:val="Grigliachiara-Colore5"/>
        <w:tblW w:w="5000" w:type="auto"/>
        <w:tblLook w:val="0680" w:firstRow="0" w:lastRow="0" w:firstColumn="1" w:lastColumn="0" w:noHBand="1" w:noVBand="1"/>
      </w:tblPr>
      <w:tblGrid>
        <w:gridCol w:w="3975"/>
        <w:gridCol w:w="10485"/>
      </w:tblGrid>
      <w:tr w:rsidR="00816AF2" w:rsidTr="00816AF2">
        <w:tc>
          <w:tcPr>
            <w:cnfStyle w:val="001000000000" w:firstRow="0" w:lastRow="0" w:firstColumn="1" w:lastColumn="0" w:oddVBand="0" w:evenVBand="0" w:oddHBand="0" w:evenHBand="0" w:firstRowFirstColumn="0" w:firstRowLastColumn="0" w:lastRowFirstColumn="0" w:lastRowLastColumn="0"/>
            <w:tcW w:w="3975" w:type="dxa"/>
          </w:tcPr>
          <w:p w:rsidR="00816AF2" w:rsidRDefault="00A05F67">
            <w:pPr>
              <w:jc w:val="center"/>
            </w:pPr>
            <w:r>
              <w:rPr>
                <w:rFonts w:ascii="Calibri" w:hAnsi="Calibri" w:cs="Calibri"/>
                <w:sz w:val="24"/>
                <w:szCs w:val="24"/>
              </w:rPr>
              <w:t>Sotto-tema Strategico</w:t>
            </w:r>
          </w:p>
        </w:tc>
        <w:tc>
          <w:tcPr>
            <w:tcW w:w="1048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Qualificazione dei sistemi di programmazione e controllo e revisione sistemi di gestione contabile</w:t>
            </w:r>
          </w:p>
        </w:tc>
      </w:tr>
    </w:tbl>
    <w:p w:rsidR="00816AF2" w:rsidRDefault="00816AF2"/>
    <w:tbl>
      <w:tblPr>
        <w:tblStyle w:val="Grigliachiara-Colore5"/>
        <w:tblW w:w="5000" w:type="auto"/>
        <w:tblLook w:val="0680" w:firstRow="0" w:lastRow="0" w:firstColumn="1" w:lastColumn="0" w:noHBand="1" w:noVBand="1"/>
      </w:tblPr>
      <w:tblGrid>
        <w:gridCol w:w="1803"/>
        <w:gridCol w:w="1865"/>
        <w:gridCol w:w="1866"/>
        <w:gridCol w:w="2178"/>
        <w:gridCol w:w="1993"/>
        <w:gridCol w:w="1599"/>
        <w:gridCol w:w="1599"/>
        <w:gridCol w:w="1599"/>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1.050.005,36</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1.050.000,00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1.050.000,00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1.050.000,00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tbl>
      <w:tblPr>
        <w:tblStyle w:val="Grigliachiara-Colore5"/>
        <w:tblW w:w="5000" w:type="auto"/>
        <w:tblLook w:val="0680" w:firstRow="0" w:lastRow="0" w:firstColumn="1" w:lastColumn="0" w:noHBand="1" w:noVBand="1"/>
      </w:tblPr>
      <w:tblGrid>
        <w:gridCol w:w="1834"/>
        <w:gridCol w:w="1797"/>
        <w:gridCol w:w="1797"/>
        <w:gridCol w:w="2124"/>
        <w:gridCol w:w="2015"/>
        <w:gridCol w:w="1645"/>
        <w:gridCol w:w="1645"/>
        <w:gridCol w:w="1645"/>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RITENUTE PREVIDENZIALI ED ASSISTENZIALI</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50.014,80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50.000,00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tbl>
      <w:tblPr>
        <w:tblStyle w:val="Grigliachiara-Colore5"/>
        <w:tblW w:w="5000" w:type="auto"/>
        <w:tblLook w:val="0680" w:firstRow="0" w:lastRow="0" w:firstColumn="1" w:lastColumn="0" w:noHBand="1" w:noVBand="1"/>
      </w:tblPr>
      <w:tblGrid>
        <w:gridCol w:w="1834"/>
        <w:gridCol w:w="1797"/>
        <w:gridCol w:w="1797"/>
        <w:gridCol w:w="2124"/>
        <w:gridCol w:w="2015"/>
        <w:gridCol w:w="1645"/>
        <w:gridCol w:w="1645"/>
        <w:gridCol w:w="1645"/>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DEPOSITI CAUZIONALI</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tbl>
      <w:tblPr>
        <w:tblStyle w:val="Grigliachiara-Colore5"/>
        <w:tblW w:w="5000" w:type="auto"/>
        <w:tblLook w:val="0680" w:firstRow="0" w:lastRow="0" w:firstColumn="1" w:lastColumn="0" w:noHBand="1" w:noVBand="1"/>
      </w:tblPr>
      <w:tblGrid>
        <w:gridCol w:w="1848"/>
        <w:gridCol w:w="1772"/>
        <w:gridCol w:w="1772"/>
        <w:gridCol w:w="2104"/>
        <w:gridCol w:w="2023"/>
        <w:gridCol w:w="1661"/>
        <w:gridCol w:w="1661"/>
        <w:gridCol w:w="1661"/>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ECONOMATO</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3.000,00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tbl>
      <w:tblPr>
        <w:tblStyle w:val="Grigliachiara-Colore5"/>
        <w:tblW w:w="5000" w:type="auto"/>
        <w:tblLook w:val="0680" w:firstRow="0" w:lastRow="0" w:firstColumn="1" w:lastColumn="0" w:noHBand="1" w:noVBand="1"/>
      </w:tblPr>
      <w:tblGrid>
        <w:gridCol w:w="1834"/>
        <w:gridCol w:w="1797"/>
        <w:gridCol w:w="1797"/>
        <w:gridCol w:w="2124"/>
        <w:gridCol w:w="2015"/>
        <w:gridCol w:w="1645"/>
        <w:gridCol w:w="1645"/>
        <w:gridCol w:w="1645"/>
      </w:tblGrid>
      <w:tr w:rsidR="00816AF2" w:rsidTr="00816AF2">
        <w:tc>
          <w:tcPr>
            <w:cnfStyle w:val="001000000000" w:firstRow="0" w:lastRow="0" w:firstColumn="1" w:lastColumn="0" w:oddVBand="0" w:evenVBand="0" w:oddHBand="0" w:evenHBand="0" w:firstRowFirstColumn="0" w:firstRowLastColumn="0" w:lastRowFirstColumn="0" w:lastRowLastColumn="0"/>
            <w:tcW w:w="2265" w:type="dxa"/>
            <w:vAlign w:val="center"/>
          </w:tcPr>
          <w:p w:rsidR="00816AF2" w:rsidRDefault="00A05F67">
            <w:pPr>
              <w:jc w:val="center"/>
            </w:pPr>
            <w:r>
              <w:rPr>
                <w:rFonts w:ascii="Calibri" w:hAnsi="Calibri" w:cs="Calibri"/>
                <w:i/>
                <w:sz w:val="24"/>
                <w:szCs w:val="24"/>
              </w:rPr>
              <w:t>Struttura</w:t>
            </w:r>
          </w:p>
        </w:tc>
        <w:tc>
          <w:tcPr>
            <w:tcW w:w="7320" w:type="dxa"/>
            <w:gridSpan w:val="3"/>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DEPOSITO SPESE CONTRATTUALI</w:t>
            </w:r>
          </w:p>
        </w:tc>
        <w:tc>
          <w:tcPr>
            <w:tcW w:w="2310"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816AF2" w:rsidRDefault="00816AF2">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816AF2" w:rsidRDefault="00A05F67">
            <w:pPr>
              <w:jc w:val="center"/>
            </w:pPr>
            <w:r>
              <w:rPr>
                <w:rFonts w:ascii="Calibri" w:hAnsi="Calibri" w:cs="Calibri"/>
                <w:i/>
                <w:sz w:val="24"/>
                <w:szCs w:val="24"/>
              </w:rPr>
              <w:t>Spese Previste</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265"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265" w:type="dxa"/>
            <w:vMerge/>
          </w:tcPr>
          <w:p w:rsidR="00816AF2" w:rsidRDefault="00816AF2"/>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816AF2" w:rsidRDefault="00816AF2"/>
    <w:tbl>
      <w:tblPr>
        <w:tblStyle w:val="Grigliachiara-Colore5"/>
        <w:tblW w:w="5000" w:type="auto"/>
        <w:tblLook w:val="0680" w:firstRow="0" w:lastRow="0" w:firstColumn="1" w:lastColumn="0" w:noHBand="1" w:noVBand="1"/>
      </w:tblPr>
      <w:tblGrid>
        <w:gridCol w:w="2948"/>
        <w:gridCol w:w="1792"/>
        <w:gridCol w:w="1792"/>
        <w:gridCol w:w="1792"/>
        <w:gridCol w:w="1792"/>
        <w:gridCol w:w="1462"/>
        <w:gridCol w:w="1462"/>
        <w:gridCol w:w="1462"/>
      </w:tblGrid>
      <w:tr w:rsidR="00816AF2" w:rsidTr="00816AF2">
        <w:tc>
          <w:tcPr>
            <w:cnfStyle w:val="001000000000" w:firstRow="0" w:lastRow="0" w:firstColumn="1" w:lastColumn="0" w:oddVBand="0" w:evenVBand="0" w:oddHBand="0" w:evenHBand="0" w:firstRowFirstColumn="0" w:firstRowLastColumn="0" w:lastRowFirstColumn="0" w:lastRowLastColumn="0"/>
            <w:tcW w:w="3975" w:type="dxa"/>
            <w:vMerge w:val="restart"/>
          </w:tcPr>
          <w:p w:rsidR="00816AF2" w:rsidRDefault="00A05F67">
            <w:pPr>
              <w:jc w:val="center"/>
            </w:pPr>
            <w:r>
              <w:rPr>
                <w:rFonts w:ascii="Calibri" w:hAnsi="Calibri" w:cs="Calibri"/>
                <w:i/>
                <w:sz w:val="24"/>
                <w:szCs w:val="24"/>
              </w:rPr>
              <w:lastRenderedPageBreak/>
              <w:t>Totale Spese Previste - Qualificazione dei sistemi di programmazione e controllo e revisione sistemi di gestione contabile</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2020</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c>
          <w:tcPr>
            <w:tcW w:w="2310" w:type="dxa"/>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i/>
                <w:sz w:val="20"/>
                <w:szCs w:val="20"/>
              </w:rPr>
              <w:t>FPV 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vMerge/>
          </w:tcPr>
          <w:p w:rsidR="00816AF2" w:rsidRDefault="00816AF2"/>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1.143.020,16</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1.143.000,00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1.143.000,00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1.143.000,00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816AF2" w:rsidRDefault="00816AF2"/>
    <w:p w:rsidR="0085561A" w:rsidRDefault="0085561A">
      <w:pPr>
        <w:jc w:val="left"/>
        <w:rPr>
          <w:noProof/>
        </w:rPr>
      </w:pPr>
      <w:r>
        <w:rPr>
          <w:noProof/>
        </w:rPr>
        <w:br w:type="page"/>
      </w:r>
    </w:p>
    <w:p w:rsidR="00FA5B55" w:rsidRDefault="00FA5B55" w:rsidP="001864F2">
      <w:pPr>
        <w:jc w:val="left"/>
        <w:sectPr w:rsidR="00FA5B55" w:rsidSect="00115B9E">
          <w:headerReference w:type="default" r:id="rId42"/>
          <w:footerReference w:type="default" r:id="rId43"/>
          <w:pgSz w:w="16838" w:h="11906" w:orient="landscape"/>
          <w:pgMar w:top="1134" w:right="1418" w:bottom="1134" w:left="1134" w:header="709" w:footer="709" w:gutter="0"/>
          <w:cols w:space="708"/>
          <w:docGrid w:linePitch="360"/>
        </w:sectPr>
      </w:pPr>
    </w:p>
    <w:p w:rsidR="00A3734B" w:rsidRDefault="00C32DCA" w:rsidP="00A3734B">
      <w:pPr>
        <w:pStyle w:val="Titolo3"/>
      </w:pPr>
      <w:r>
        <w:lastRenderedPageBreak/>
        <w:t xml:space="preserve"> </w:t>
      </w:r>
      <w:bookmarkStart w:id="20" w:name="_Toc496177148"/>
      <w:r w:rsidR="004B100F" w:rsidRPr="004B100F">
        <w:t>Valutazioni dei mezzi finanziari e delle fonti di finanziamento</w:t>
      </w:r>
      <w:bookmarkEnd w:id="20"/>
    </w:p>
    <w:p w:rsidR="007038D2" w:rsidRDefault="007038D2" w:rsidP="000704E9">
      <w:pPr>
        <w:spacing w:line="360" w:lineRule="auto"/>
        <w:rPr>
          <w:color w:val="262626" w:themeColor="text1" w:themeTint="D9"/>
        </w:rPr>
      </w:pPr>
    </w:p>
    <w:p w:rsidR="00C952EA" w:rsidRPr="004C5FE6" w:rsidRDefault="00C952EA" w:rsidP="00C952EA">
      <w:pPr>
        <w:jc w:val="left"/>
      </w:pPr>
      <w:r w:rsidRPr="004C5FE6">
        <w:t>L’Ente non provvedere al finanziamento di investimenti per infrastrutture legate alla gestione del piano di rifiuti che vengono finanziati direttamente dai Comuni consorziati o altre Enti del settore pubblico.</w:t>
      </w:r>
    </w:p>
    <w:p w:rsidR="00C952EA" w:rsidRPr="004C5FE6" w:rsidRDefault="00C952EA" w:rsidP="00C952EA">
      <w:pPr>
        <w:autoSpaceDE w:val="0"/>
        <w:autoSpaceDN w:val="0"/>
        <w:spacing w:before="60" w:line="360" w:lineRule="auto"/>
      </w:pPr>
      <w:r w:rsidRPr="004C5FE6">
        <w:t>Con riferimento alla gestione 2018 le spese consortili amm</w:t>
      </w:r>
      <w:r w:rsidR="004C5FE6" w:rsidRPr="004C5FE6">
        <w:t>ontano a complessive €533.643</w:t>
      </w:r>
      <w:r w:rsidR="00761223" w:rsidRPr="004C5FE6">
        <w:t>,00</w:t>
      </w:r>
      <w:r w:rsidR="004C5FE6" w:rsidRPr="004C5FE6">
        <w:t xml:space="preserve"> </w:t>
      </w:r>
      <w:r w:rsidRPr="004C5FE6">
        <w:t xml:space="preserve">  e vengono finanziate nel seguente modo:</w:t>
      </w:r>
    </w:p>
    <w:p w:rsidR="00C952EA" w:rsidRPr="004C5FE6" w:rsidRDefault="004C5FE6" w:rsidP="00C952EA">
      <w:pPr>
        <w:autoSpaceDE w:val="0"/>
        <w:autoSpaceDN w:val="0"/>
        <w:spacing w:before="60" w:line="360" w:lineRule="auto"/>
      </w:pPr>
      <w:r w:rsidRPr="004C5FE6">
        <w:t>-€374.470,00</w:t>
      </w:r>
      <w:r w:rsidR="00C952EA" w:rsidRPr="004C5FE6">
        <w:t xml:space="preserve"> a carico dei n. 76</w:t>
      </w:r>
      <w:r w:rsidR="00761223" w:rsidRPr="004C5FE6">
        <w:t xml:space="preserve"> </w:t>
      </w:r>
      <w:r w:rsidR="00C952EA" w:rsidRPr="004C5FE6">
        <w:t xml:space="preserve">Comuni consorziati sulla base delle quote di partecipazione sopra </w:t>
      </w:r>
    </w:p>
    <w:p w:rsidR="00C952EA" w:rsidRPr="004C5FE6" w:rsidRDefault="00761223" w:rsidP="00C952EA">
      <w:pPr>
        <w:autoSpaceDE w:val="0"/>
        <w:autoSpaceDN w:val="0"/>
        <w:spacing w:before="60" w:line="360" w:lineRule="auto"/>
      </w:pPr>
      <w:r w:rsidRPr="004C5FE6">
        <w:t>-€100</w:t>
      </w:r>
      <w:r w:rsidR="00C952EA" w:rsidRPr="004C5FE6">
        <w:t>.000,00 a carico dei soli di Comuni di Stresa, Crevoladossola, Verbania e Gravellona Toce sulla base delle prestazioni di servizio effettivamente svolte per ciascuna Amministrazione:</w:t>
      </w:r>
    </w:p>
    <w:p w:rsidR="00C952EA" w:rsidRPr="004C5FE6" w:rsidRDefault="00C952EA" w:rsidP="00C952EA">
      <w:pPr>
        <w:numPr>
          <w:ilvl w:val="0"/>
          <w:numId w:val="7"/>
        </w:numPr>
        <w:suppressAutoHyphens/>
        <w:autoSpaceDE w:val="0"/>
        <w:autoSpaceDN w:val="0"/>
        <w:spacing w:before="60" w:after="120" w:line="360" w:lineRule="auto"/>
        <w:rPr>
          <w:i/>
        </w:rPr>
      </w:pPr>
      <w:r w:rsidRPr="004C5FE6">
        <w:rPr>
          <w:i/>
        </w:rPr>
        <w:t>€ 50.000,00 Comune di Verbania;</w:t>
      </w:r>
    </w:p>
    <w:p w:rsidR="00C952EA" w:rsidRPr="004C5FE6" w:rsidRDefault="00C952EA" w:rsidP="00C952EA">
      <w:pPr>
        <w:numPr>
          <w:ilvl w:val="0"/>
          <w:numId w:val="7"/>
        </w:numPr>
        <w:suppressAutoHyphens/>
        <w:autoSpaceDE w:val="0"/>
        <w:autoSpaceDN w:val="0"/>
        <w:spacing w:before="60" w:after="120" w:line="360" w:lineRule="auto"/>
        <w:rPr>
          <w:i/>
        </w:rPr>
      </w:pPr>
      <w:r w:rsidRPr="004C5FE6">
        <w:rPr>
          <w:i/>
        </w:rPr>
        <w:t>€ 8.000,00 Comune di Gravellona Toce;</w:t>
      </w:r>
    </w:p>
    <w:p w:rsidR="00C952EA" w:rsidRPr="004C5FE6" w:rsidRDefault="00C952EA" w:rsidP="00C952EA">
      <w:pPr>
        <w:numPr>
          <w:ilvl w:val="0"/>
          <w:numId w:val="7"/>
        </w:numPr>
        <w:suppressAutoHyphens/>
        <w:autoSpaceDE w:val="0"/>
        <w:autoSpaceDN w:val="0"/>
        <w:spacing w:before="60" w:after="120" w:line="360" w:lineRule="auto"/>
        <w:rPr>
          <w:i/>
        </w:rPr>
      </w:pPr>
      <w:r w:rsidRPr="004C5FE6">
        <w:rPr>
          <w:i/>
        </w:rPr>
        <w:t>€ 28.000,00 Comune di Stresa;</w:t>
      </w:r>
    </w:p>
    <w:p w:rsidR="00C952EA" w:rsidRPr="004C5FE6" w:rsidRDefault="00761223" w:rsidP="00C952EA">
      <w:pPr>
        <w:numPr>
          <w:ilvl w:val="0"/>
          <w:numId w:val="7"/>
        </w:numPr>
        <w:suppressAutoHyphens/>
        <w:autoSpaceDE w:val="0"/>
        <w:autoSpaceDN w:val="0"/>
        <w:spacing w:before="60" w:after="120" w:line="360" w:lineRule="auto"/>
        <w:rPr>
          <w:i/>
        </w:rPr>
      </w:pPr>
      <w:r w:rsidRPr="004C5FE6">
        <w:rPr>
          <w:i/>
        </w:rPr>
        <w:t>€ 14</w:t>
      </w:r>
      <w:r w:rsidR="00C952EA" w:rsidRPr="004C5FE6">
        <w:rPr>
          <w:i/>
        </w:rPr>
        <w:t>.000,00 Comune di Crevoladossola;</w:t>
      </w:r>
    </w:p>
    <w:p w:rsidR="00C952EA" w:rsidRPr="004C5FE6" w:rsidRDefault="00761223" w:rsidP="00C952EA">
      <w:pPr>
        <w:widowControl w:val="0"/>
        <w:tabs>
          <w:tab w:val="left" w:pos="3686"/>
        </w:tabs>
        <w:spacing w:line="360" w:lineRule="auto"/>
        <w:rPr>
          <w:rFonts w:cs="Tahoma"/>
        </w:rPr>
      </w:pPr>
      <w:r w:rsidRPr="004C5FE6">
        <w:t>-€9.350,00</w:t>
      </w:r>
      <w:r w:rsidR="00C952EA" w:rsidRPr="004C5FE6">
        <w:t>,00 a carico del Comune di Verbania quale trasferimento delle</w:t>
      </w:r>
      <w:r w:rsidR="00C952EA" w:rsidRPr="004C5FE6">
        <w:rPr>
          <w:rFonts w:cs="Tahoma"/>
        </w:rPr>
        <w:t xml:space="preserve"> spese per utilizzo in convenzione di n. 1 istruttore Direttivo D2 per n. 18 ore settimanali;</w:t>
      </w:r>
    </w:p>
    <w:p w:rsidR="00C952EA" w:rsidRPr="004C5FE6" w:rsidRDefault="00C952EA" w:rsidP="00C952EA">
      <w:pPr>
        <w:widowControl w:val="0"/>
        <w:tabs>
          <w:tab w:val="left" w:pos="3686"/>
        </w:tabs>
        <w:spacing w:line="360" w:lineRule="auto"/>
      </w:pPr>
      <w:r w:rsidRPr="004C5FE6">
        <w:t>-€30.000,00 mediante le entrate CONAI in aderenza a quanto avvenuto nei precedenti esercizi (CONAI OSSOLA €15.000,00 – CONAI VB €15.000,00).</w:t>
      </w:r>
    </w:p>
    <w:p w:rsidR="004C5FE6" w:rsidRPr="004C5FE6" w:rsidRDefault="004C5FE6" w:rsidP="00C952EA">
      <w:pPr>
        <w:widowControl w:val="0"/>
        <w:tabs>
          <w:tab w:val="left" w:pos="3686"/>
        </w:tabs>
        <w:spacing w:line="360" w:lineRule="auto"/>
      </w:pPr>
      <w:r w:rsidRPr="004C5FE6">
        <w:t>-€19.823 entrata da Consorzio RILEGNO per proventi raccolta legno;</w:t>
      </w:r>
    </w:p>
    <w:p w:rsidR="00C952EA" w:rsidRPr="004C5FE6" w:rsidRDefault="00C952EA" w:rsidP="00C952EA">
      <w:pPr>
        <w:suppressAutoHyphens/>
        <w:autoSpaceDE w:val="0"/>
        <w:autoSpaceDN w:val="0"/>
        <w:spacing w:before="60" w:after="120" w:line="360" w:lineRule="auto"/>
        <w:ind w:left="720"/>
      </w:pPr>
      <w:r w:rsidRPr="004C5FE6">
        <w:t xml:space="preserve">Al </w:t>
      </w:r>
      <w:r w:rsidRPr="004C5FE6">
        <w:rPr>
          <w:b/>
        </w:rPr>
        <w:t>Titolo II</w:t>
      </w:r>
      <w:r w:rsidRPr="004C5FE6">
        <w:t xml:space="preserve"> delle entrate confluiscono altresì a titolo di trasferimento:</w:t>
      </w:r>
    </w:p>
    <w:p w:rsidR="00C952EA" w:rsidRPr="004C5FE6" w:rsidRDefault="00C952EA" w:rsidP="00C952EA">
      <w:pPr>
        <w:widowControl w:val="0"/>
        <w:tabs>
          <w:tab w:val="left" w:pos="3686"/>
        </w:tabs>
        <w:spacing w:line="360" w:lineRule="auto"/>
        <w:rPr>
          <w:rFonts w:cs="Tahoma"/>
        </w:rPr>
      </w:pPr>
      <w:r w:rsidRPr="004C5FE6">
        <w:rPr>
          <w:rFonts w:cs="Tahoma"/>
        </w:rPr>
        <w:t xml:space="preserve">- </w:t>
      </w:r>
      <w:r w:rsidR="004C5FE6" w:rsidRPr="004C5FE6">
        <w:rPr>
          <w:rFonts w:cs="Tahoma"/>
          <w:b/>
        </w:rPr>
        <w:t>€55</w:t>
      </w:r>
      <w:r w:rsidRPr="004C5FE6">
        <w:rPr>
          <w:rFonts w:cs="Tahoma"/>
          <w:b/>
        </w:rPr>
        <w:t>.000,00</w:t>
      </w:r>
      <w:r w:rsidRPr="004C5FE6">
        <w:rPr>
          <w:rFonts w:cs="Tahoma"/>
        </w:rPr>
        <w:t xml:space="preserve">, quale Fondo di contenimento tariffe) da parte del Ministero dell’Interno per i maggiori oneri derivanti dal pagamento dell’IVA in relazione ai </w:t>
      </w:r>
      <w:r w:rsidRPr="004C5FE6">
        <w:rPr>
          <w:rFonts w:cs="Tahoma"/>
        </w:rPr>
        <w:lastRenderedPageBreak/>
        <w:t>contratto di servizio non commerciali dei Comuni in gestione TARI che trova identico importo al Titolo I delle spese in quanto da trasferirsi totalmente alle Amministrazioni Comunali interessate (Comuni in gestione TARI);</w:t>
      </w:r>
    </w:p>
    <w:p w:rsidR="00C952EA" w:rsidRPr="004C5FE6" w:rsidRDefault="004C5FE6" w:rsidP="00C952EA">
      <w:pPr>
        <w:widowControl w:val="0"/>
        <w:suppressAutoHyphens/>
        <w:spacing w:after="0" w:line="360" w:lineRule="auto"/>
        <w:rPr>
          <w:rFonts w:eastAsia="Times New Roman" w:cs="Tahoma"/>
          <w:lang w:eastAsia="ar-SA"/>
        </w:rPr>
      </w:pPr>
      <w:r w:rsidRPr="004C5FE6">
        <w:rPr>
          <w:rFonts w:eastAsia="Times New Roman" w:cs="Tahoma"/>
          <w:b/>
          <w:lang w:eastAsia="ar-SA"/>
        </w:rPr>
        <w:t>- € 2.592.892,19</w:t>
      </w:r>
      <w:r w:rsidR="00C952EA" w:rsidRPr="004C5FE6">
        <w:rPr>
          <w:rFonts w:eastAsia="Times New Roman" w:cs="Tahoma"/>
          <w:b/>
          <w:lang w:eastAsia="ar-SA"/>
        </w:rPr>
        <w:t xml:space="preserve"> </w:t>
      </w:r>
      <w:r w:rsidR="00C952EA" w:rsidRPr="004C5FE6">
        <w:rPr>
          <w:rFonts w:eastAsia="Times New Roman" w:cs="Tahoma"/>
          <w:lang w:eastAsia="ar-SA"/>
        </w:rPr>
        <w:t>quali trasferimenti da parte dei Comuni di Stresa e Crevoladossola, di quanto risultante dai singoli Piani Economici Finanziari TARI che trovano identica iscrizione tra le spese del titolo I.</w:t>
      </w:r>
    </w:p>
    <w:p w:rsidR="00C952EA" w:rsidRPr="00923ADC" w:rsidRDefault="00C952EA" w:rsidP="004C5FE6">
      <w:pPr>
        <w:autoSpaceDE w:val="0"/>
        <w:autoSpaceDN w:val="0"/>
        <w:spacing w:before="60" w:line="360" w:lineRule="auto"/>
        <w:rPr>
          <w:rFonts w:cs="Tahoma"/>
        </w:rPr>
      </w:pPr>
      <w:r w:rsidRPr="004C5FE6">
        <w:rPr>
          <w:rFonts w:cs="Arial"/>
        </w:rPr>
        <w:tab/>
        <w:t xml:space="preserve">Confluiscono invece al </w:t>
      </w:r>
      <w:r w:rsidRPr="004C5FE6">
        <w:rPr>
          <w:rFonts w:cs="Arial"/>
          <w:b/>
        </w:rPr>
        <w:t xml:space="preserve">Titolo III </w:t>
      </w:r>
      <w:r w:rsidRPr="004C5FE6">
        <w:rPr>
          <w:rFonts w:cs="Arial"/>
        </w:rPr>
        <w:t xml:space="preserve">i proventi derivanti dalla gestione CONAI </w:t>
      </w:r>
      <w:r w:rsidR="004C5FE6" w:rsidRPr="004C5FE6">
        <w:rPr>
          <w:rFonts w:cs="Arial"/>
        </w:rPr>
        <w:t>per € 1.356.300,00</w:t>
      </w:r>
    </w:p>
    <w:p w:rsidR="00C952EA" w:rsidRPr="00923ADC" w:rsidRDefault="00C952EA" w:rsidP="00C952EA">
      <w:pPr>
        <w:widowControl w:val="0"/>
        <w:tabs>
          <w:tab w:val="left" w:pos="3686"/>
        </w:tabs>
        <w:spacing w:line="360" w:lineRule="auto"/>
        <w:rPr>
          <w:rFonts w:cs="Tahoma"/>
        </w:rPr>
      </w:pPr>
    </w:p>
    <w:p w:rsidR="00C952EA" w:rsidRDefault="00C952EA" w:rsidP="00C952EA"/>
    <w:p w:rsidR="00C952EA" w:rsidRDefault="00C952EA" w:rsidP="00C952EA"/>
    <w:p w:rsidR="00C952EA" w:rsidRDefault="00C952EA" w:rsidP="00C952EA"/>
    <w:p w:rsidR="00C952EA" w:rsidRDefault="00C952EA" w:rsidP="00C952EA"/>
    <w:p w:rsidR="00C952EA" w:rsidRDefault="00C952EA" w:rsidP="00C952EA"/>
    <w:p w:rsidR="00C952EA" w:rsidRDefault="00C952EA" w:rsidP="00C952EA"/>
    <w:p w:rsidR="00C952EA" w:rsidRDefault="00C952EA" w:rsidP="00C952EA"/>
    <w:p w:rsidR="004C5FE6" w:rsidRDefault="004C5FE6" w:rsidP="00C952EA"/>
    <w:p w:rsidR="004C5FE6" w:rsidRDefault="004C5FE6" w:rsidP="00C952EA"/>
    <w:p w:rsidR="004C5FE6" w:rsidRDefault="004C5FE6" w:rsidP="00C952EA"/>
    <w:p w:rsidR="004C5FE6" w:rsidRDefault="004C5FE6" w:rsidP="00C952EA"/>
    <w:p w:rsidR="004C5FE6" w:rsidRDefault="004C5FE6" w:rsidP="00C952EA"/>
    <w:p w:rsidR="004C5FE6" w:rsidRDefault="004C5FE6" w:rsidP="00C952EA"/>
    <w:p w:rsidR="00816AF2" w:rsidRDefault="00A05F67" w:rsidP="00C952EA">
      <w:pPr>
        <w:jc w:val="center"/>
      </w:pPr>
      <w:r>
        <w:rPr>
          <w:b/>
          <w:i/>
        </w:rPr>
        <w:t>Analisi Entrate per Titolo e Tipologia</w:t>
      </w:r>
    </w:p>
    <w:p w:rsidR="00816AF2" w:rsidRDefault="00A05F67">
      <w:r>
        <w:t>Titolo 1 - ENTRATE CORRENTI DI NATURA TRIBUTARIA, CONTRIBUTIVA E PEREQUATIVA</w:t>
      </w:r>
    </w:p>
    <w:tbl>
      <w:tblPr>
        <w:tblStyle w:val="Grigliachiara-Colore5"/>
        <w:tblW w:w="5000" w:type="auto"/>
        <w:tblLook w:val="06A0" w:firstRow="1" w:lastRow="0" w:firstColumn="1" w:lastColumn="0" w:noHBand="1" w:noVBand="1"/>
      </w:tblPr>
      <w:tblGrid>
        <w:gridCol w:w="417"/>
        <w:gridCol w:w="4720"/>
        <w:gridCol w:w="1490"/>
        <w:gridCol w:w="1490"/>
        <w:gridCol w:w="1519"/>
        <w:gridCol w:w="1434"/>
        <w:gridCol w:w="1144"/>
        <w:gridCol w:w="1144"/>
        <w:gridCol w:w="1144"/>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Tipologia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101: Imposte tasse e proventi assimilati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268.629,76</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1</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268.629,76</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4F1E" w:rsidRDefault="00814F1E"/>
    <w:p w:rsidR="00816AF2" w:rsidRDefault="00814F1E">
      <w:r>
        <w:t>Dal 1° gennaio 2014, in recepimento dio quanto disposto dalla Legge di stabilità n.147/2013, che pone in capo ai Comuni la competenza in materia di riscossione della tassa sui rifiuti TARI, nel bilancio consortile non confluisce più nessun tipo di entrata di carattere tributario; la TARI dei Comuni di Stresa e Crevoladossola ancora gestiti dal Consorzio viene infatti iscritta nel bilancio del Comune interessato.</w:t>
      </w:r>
      <w:r w:rsidR="00A05F67">
        <w:br w:type="page"/>
      </w:r>
    </w:p>
    <w:p w:rsidR="00816AF2" w:rsidRDefault="00816AF2"/>
    <w:p w:rsidR="00816AF2" w:rsidRDefault="00A05F67">
      <w:pPr>
        <w:jc w:val="center"/>
      </w:pPr>
      <w:r>
        <w:rPr>
          <w:b/>
          <w:i/>
        </w:rPr>
        <w:t>Andamento Entrate Titolo 1 - ENTRATE CORRENTI DI NATURA TRIBUTARIA, CONTRIBUTIVA E PEREQUATIVA 2015 – 2020</w:t>
      </w:r>
      <w:r>
        <w:rPr>
          <w:noProof/>
          <w:lang w:eastAsia="it-IT"/>
        </w:rPr>
        <w:drawing>
          <wp:inline distT="0" distB="0" distL="0" distR="0">
            <wp:extent cx="9000000" cy="5040000"/>
            <wp:effectExtent l="0" t="0" r="19050" b="19050"/>
            <wp:docPr id="8"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816AF2" w:rsidRDefault="00A05F67">
      <w:r>
        <w:br w:type="page"/>
      </w:r>
    </w:p>
    <w:p w:rsidR="00816AF2" w:rsidRDefault="00816AF2"/>
    <w:p w:rsidR="00816AF2" w:rsidRDefault="00A05F67">
      <w:r>
        <w:t>Titolo 2 - TRASFERIMENTI CORRENTI</w:t>
      </w:r>
    </w:p>
    <w:tbl>
      <w:tblPr>
        <w:tblStyle w:val="Grigliachiara-Colore5"/>
        <w:tblW w:w="5000" w:type="auto"/>
        <w:tblLook w:val="06A0" w:firstRow="1" w:lastRow="0" w:firstColumn="1" w:lastColumn="0" w:noHBand="1" w:noVBand="1"/>
      </w:tblPr>
      <w:tblGrid>
        <w:gridCol w:w="417"/>
        <w:gridCol w:w="4063"/>
        <w:gridCol w:w="1394"/>
        <w:gridCol w:w="1438"/>
        <w:gridCol w:w="1438"/>
        <w:gridCol w:w="1438"/>
        <w:gridCol w:w="1438"/>
        <w:gridCol w:w="1438"/>
        <w:gridCol w:w="1438"/>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Tipologia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101: Trasferimenti correnti da Amministrazioni pubbliche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3.146.878,32</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3.150.271,23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3.452.907,02</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3.136.535,19</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3.121.522,80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3.101.030,59</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2</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3.146.878,32</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3.150.271,23</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3.452.907,02</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3.136.535,19</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3.121.522,80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3.101.030,59</w:t>
            </w:r>
          </w:p>
        </w:tc>
      </w:tr>
    </w:tbl>
    <w:p w:rsidR="00816AF2" w:rsidRDefault="00A05F67">
      <w:r>
        <w:br w:type="page"/>
      </w:r>
    </w:p>
    <w:p w:rsidR="00816AF2" w:rsidRDefault="00816AF2"/>
    <w:p w:rsidR="00816AF2" w:rsidRDefault="00A05F67">
      <w:pPr>
        <w:jc w:val="center"/>
      </w:pPr>
      <w:r>
        <w:rPr>
          <w:b/>
          <w:i/>
        </w:rPr>
        <w:t>Andamento Entrate Titolo 2 - TRASFERIMENTI CORRENTI 2015 – 2020</w:t>
      </w:r>
      <w:r>
        <w:rPr>
          <w:noProof/>
          <w:lang w:eastAsia="it-IT"/>
        </w:rPr>
        <w:drawing>
          <wp:inline distT="0" distB="0" distL="0" distR="0">
            <wp:extent cx="9000000" cy="5040000"/>
            <wp:effectExtent l="0" t="0" r="19050" b="19050"/>
            <wp:docPr id="9"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816AF2" w:rsidRDefault="00A05F67">
      <w:r>
        <w:br w:type="page"/>
      </w:r>
    </w:p>
    <w:p w:rsidR="00816AF2" w:rsidRDefault="00816AF2"/>
    <w:p w:rsidR="00816AF2" w:rsidRDefault="00A05F67">
      <w:r>
        <w:t>Titolo 3 - ENTRATE EXTRATRIBUTARIE</w:t>
      </w:r>
    </w:p>
    <w:tbl>
      <w:tblPr>
        <w:tblStyle w:val="Grigliachiara-Colore5"/>
        <w:tblW w:w="5000" w:type="auto"/>
        <w:tblLook w:val="06A0" w:firstRow="1" w:lastRow="0" w:firstColumn="1" w:lastColumn="0" w:noHBand="1" w:noVBand="1"/>
      </w:tblPr>
      <w:tblGrid>
        <w:gridCol w:w="416"/>
        <w:gridCol w:w="3960"/>
        <w:gridCol w:w="1415"/>
        <w:gridCol w:w="1416"/>
        <w:gridCol w:w="1459"/>
        <w:gridCol w:w="1459"/>
        <w:gridCol w:w="1459"/>
        <w:gridCol w:w="1459"/>
        <w:gridCol w:w="1459"/>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Tipologia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100: Vendita di beni e servizi e proventi derivanti dalla gestione dei beni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931.401,58</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2.272.407,18</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2.814.434,48</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1.472.873,33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1.356.300,00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1.356.300,00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2</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300: Interessi attivi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7,90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3</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500: Rimborsi e altre entrate correnti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12.291,51</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3</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943.700,99</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2.272.407,18</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2.814.434,48</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1.472.873,33</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1.356.300,00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1.356.300,00</w:t>
            </w:r>
          </w:p>
        </w:tc>
      </w:tr>
    </w:tbl>
    <w:p w:rsidR="00816AF2" w:rsidRDefault="00A05F67">
      <w:r>
        <w:br w:type="page"/>
      </w:r>
    </w:p>
    <w:p w:rsidR="00816AF2" w:rsidRDefault="00816AF2"/>
    <w:p w:rsidR="00816AF2" w:rsidRDefault="00A05F67">
      <w:pPr>
        <w:jc w:val="center"/>
      </w:pPr>
      <w:r>
        <w:rPr>
          <w:b/>
          <w:i/>
        </w:rPr>
        <w:t>Andamento Entrate Titolo 3 - ENTRATE EXTRATRIBUTARIE 2015 – 2020</w:t>
      </w:r>
      <w:r>
        <w:rPr>
          <w:noProof/>
          <w:lang w:eastAsia="it-IT"/>
        </w:rPr>
        <w:drawing>
          <wp:inline distT="0" distB="0" distL="0" distR="0">
            <wp:extent cx="9000000" cy="5040000"/>
            <wp:effectExtent l="0" t="0" r="19050" b="19050"/>
            <wp:docPr id="10"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816AF2" w:rsidRDefault="00A05F67">
      <w:r>
        <w:br w:type="page"/>
      </w:r>
    </w:p>
    <w:p w:rsidR="00816AF2" w:rsidRDefault="00816AF2"/>
    <w:p w:rsidR="00816AF2" w:rsidRDefault="00A05F67">
      <w:r>
        <w:t>Titolo 4 - ENTRATE IN CONTO CAPITALE</w:t>
      </w:r>
    </w:p>
    <w:tbl>
      <w:tblPr>
        <w:tblStyle w:val="Grigliachiara-Colore5"/>
        <w:tblW w:w="5000" w:type="auto"/>
        <w:tblLook w:val="06A0" w:firstRow="1" w:lastRow="0" w:firstColumn="1" w:lastColumn="0" w:noHBand="1" w:noVBand="1"/>
      </w:tblPr>
      <w:tblGrid>
        <w:gridCol w:w="416"/>
        <w:gridCol w:w="4776"/>
        <w:gridCol w:w="1483"/>
        <w:gridCol w:w="1483"/>
        <w:gridCol w:w="1513"/>
        <w:gridCol w:w="1426"/>
        <w:gridCol w:w="1135"/>
        <w:gridCol w:w="1135"/>
        <w:gridCol w:w="1135"/>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Tipologia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300: Altri trasferimenti in conto capitale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5.845,36</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69.903,34</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111.869,00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4</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5.845,36</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69.903,34</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111.869,00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pPr>
        <w:jc w:val="center"/>
      </w:pPr>
      <w:r>
        <w:rPr>
          <w:b/>
          <w:i/>
        </w:rPr>
        <w:t>Andamento Entrate Titolo 4 - ENTRATE IN CONTO CAPITALE 2015 – 2020</w:t>
      </w:r>
      <w:r>
        <w:rPr>
          <w:noProof/>
          <w:lang w:eastAsia="it-IT"/>
        </w:rPr>
        <w:drawing>
          <wp:inline distT="0" distB="0" distL="0" distR="0">
            <wp:extent cx="9000000" cy="5040000"/>
            <wp:effectExtent l="0" t="0" r="19050" b="19050"/>
            <wp:docPr id="11"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816AF2" w:rsidRDefault="00A05F67">
      <w:r>
        <w:br w:type="page"/>
      </w:r>
    </w:p>
    <w:p w:rsidR="00816AF2" w:rsidRDefault="00816AF2"/>
    <w:p w:rsidR="00816AF2" w:rsidRDefault="00A05F67">
      <w:r>
        <w:t>Titolo 6 - ACCENSIONE PRESTITI</w:t>
      </w:r>
    </w:p>
    <w:tbl>
      <w:tblPr>
        <w:tblStyle w:val="Grigliachiara-Colore5"/>
        <w:tblW w:w="5000" w:type="auto"/>
        <w:tblLook w:val="06A0" w:firstRow="1" w:lastRow="0" w:firstColumn="1" w:lastColumn="0" w:noHBand="1" w:noVBand="1"/>
      </w:tblPr>
      <w:tblGrid>
        <w:gridCol w:w="416"/>
        <w:gridCol w:w="3984"/>
        <w:gridCol w:w="1414"/>
        <w:gridCol w:w="1414"/>
        <w:gridCol w:w="1446"/>
        <w:gridCol w:w="1457"/>
        <w:gridCol w:w="1457"/>
        <w:gridCol w:w="1457"/>
        <w:gridCol w:w="1457"/>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Tipologia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200: Accensione Prestiti a breve termine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982.917,47</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1.022.644,83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1.022.644,83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1.022.000,00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6</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982.917,47</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1.022.644,83</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1.022.644,83</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1.022.000,00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1.022.000,00</w:t>
            </w:r>
          </w:p>
        </w:tc>
      </w:tr>
    </w:tbl>
    <w:p w:rsidR="00816AF2" w:rsidRDefault="00A05F67">
      <w:r>
        <w:br w:type="page"/>
      </w:r>
    </w:p>
    <w:p w:rsidR="00816AF2" w:rsidRDefault="00816AF2"/>
    <w:p w:rsidR="00816AF2" w:rsidRDefault="00A05F67">
      <w:pPr>
        <w:jc w:val="center"/>
      </w:pPr>
      <w:r>
        <w:rPr>
          <w:b/>
          <w:i/>
        </w:rPr>
        <w:t>Andamento Entrate Titolo 6 - ACCENSIONE PRESTITI 2015 – 2020</w:t>
      </w:r>
      <w:r>
        <w:rPr>
          <w:noProof/>
          <w:lang w:eastAsia="it-IT"/>
        </w:rPr>
        <w:drawing>
          <wp:inline distT="0" distB="0" distL="0" distR="0">
            <wp:extent cx="9000000" cy="5040000"/>
            <wp:effectExtent l="0" t="0" r="19050" b="19050"/>
            <wp:docPr id="13"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816AF2" w:rsidRDefault="00A05F67">
      <w:r>
        <w:br w:type="page"/>
      </w:r>
    </w:p>
    <w:p w:rsidR="00816AF2" w:rsidRDefault="00816AF2"/>
    <w:p w:rsidR="00816AF2" w:rsidRDefault="00A05F67">
      <w:r>
        <w:t>Titolo 9 - ENTRATE PER CONTO TERZI E PARTITE DI GIRO</w:t>
      </w:r>
    </w:p>
    <w:tbl>
      <w:tblPr>
        <w:tblStyle w:val="Grigliachiara-Colore5"/>
        <w:tblW w:w="5000" w:type="auto"/>
        <w:tblLook w:val="06A0" w:firstRow="1" w:lastRow="0" w:firstColumn="1" w:lastColumn="0" w:noHBand="1" w:noVBand="1"/>
      </w:tblPr>
      <w:tblGrid>
        <w:gridCol w:w="416"/>
        <w:gridCol w:w="3960"/>
        <w:gridCol w:w="1415"/>
        <w:gridCol w:w="1416"/>
        <w:gridCol w:w="1459"/>
        <w:gridCol w:w="1459"/>
        <w:gridCol w:w="1459"/>
        <w:gridCol w:w="1459"/>
        <w:gridCol w:w="1459"/>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Tipologia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100: Entrate per partite di giro</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343.241,99</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450.000,00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450.003,80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450.000,00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450.000,00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450.000,00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2</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200: Entrate per conto terzi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6.996,33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693.000,00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696.000,00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693.000,00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693.000,00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693.000,00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9</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350.238,32</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1.143.000,00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1.146.003,80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1.143.000,00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1.143.000,00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1.143.000,00</w:t>
            </w:r>
          </w:p>
        </w:tc>
      </w:tr>
    </w:tbl>
    <w:p w:rsidR="00816AF2" w:rsidRDefault="00A05F67">
      <w:r>
        <w:br w:type="page"/>
      </w:r>
    </w:p>
    <w:p w:rsidR="00816AF2" w:rsidRDefault="00816AF2"/>
    <w:p w:rsidR="00816AF2" w:rsidRDefault="00A05F67">
      <w:pPr>
        <w:jc w:val="center"/>
      </w:pPr>
      <w:r>
        <w:rPr>
          <w:b/>
          <w:i/>
        </w:rPr>
        <w:t>Andamento Entrate Titolo 9 - ENTRATE PER CONTO TERZI E PARTITE DI GIRO 2015 – 2020</w:t>
      </w:r>
      <w:r>
        <w:rPr>
          <w:noProof/>
          <w:lang w:eastAsia="it-IT"/>
        </w:rPr>
        <w:drawing>
          <wp:inline distT="0" distB="0" distL="0" distR="0">
            <wp:extent cx="9000000" cy="5040000"/>
            <wp:effectExtent l="0" t="0" r="19050" b="19050"/>
            <wp:docPr id="14"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816AF2" w:rsidRDefault="00A05F67">
      <w:r>
        <w:br w:type="page"/>
      </w:r>
    </w:p>
    <w:p w:rsidR="00816AF2" w:rsidRDefault="00816AF2"/>
    <w:p w:rsidR="00816AF2" w:rsidRDefault="00A05F67">
      <w:pPr>
        <w:jc w:val="center"/>
      </w:pPr>
      <w:r>
        <w:rPr>
          <w:b/>
          <w:i/>
        </w:rPr>
        <w:t>Analisi Entrate per Titolo, Tipologia e Categoria</w:t>
      </w:r>
    </w:p>
    <w:p w:rsidR="00816AF2" w:rsidRDefault="00A05F67">
      <w:r>
        <w:t>Titolo 0 - AVANZO E FPV / Tipologia 0000000 - Tipologia 000: Avanzo</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0 - TIPOLOGIA 0000000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1 - ENTRATE CORRENTI DI NATURA TRIBUTARIA, CONTRIBUTIVA E PEREQUATIVA / Tipologia 1010100 - Tipologia 101: Imposte tasse e proventi assimilati</w:t>
      </w:r>
    </w:p>
    <w:tbl>
      <w:tblPr>
        <w:tblStyle w:val="Grigliachiara-Colore5"/>
        <w:tblW w:w="5000" w:type="auto"/>
        <w:tblLook w:val="06A0" w:firstRow="1" w:lastRow="0" w:firstColumn="1" w:lastColumn="0" w:noHBand="1" w:noVBand="1"/>
      </w:tblPr>
      <w:tblGrid>
        <w:gridCol w:w="416"/>
        <w:gridCol w:w="4766"/>
        <w:gridCol w:w="1485"/>
        <w:gridCol w:w="1485"/>
        <w:gridCol w:w="1514"/>
        <w:gridCol w:w="1428"/>
        <w:gridCol w:w="1136"/>
        <w:gridCol w:w="1136"/>
        <w:gridCol w:w="1136"/>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Tassa smaltimento rifiuti solidi urbani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268.629,76</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1 - TIPOLOGIA 1010100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268.629,76</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pPr>
        <w:jc w:val="center"/>
      </w:pPr>
      <w:r>
        <w:rPr>
          <w:b/>
          <w:i/>
        </w:rPr>
        <w:t>Andamento Entrate Titolo 1 - ENTRATE CORRENTI DI NATURA TRIBUTARIA, CONTRIBUTIVA E PEREQUATIVA / Tipologia 1010100 - Tipologia 101: Imposte tasse e proventi assimilati 2015 – 2020</w:t>
      </w:r>
      <w:r>
        <w:rPr>
          <w:noProof/>
          <w:lang w:eastAsia="it-IT"/>
        </w:rPr>
        <w:drawing>
          <wp:inline distT="0" distB="0" distL="0" distR="0">
            <wp:extent cx="9000000" cy="5040000"/>
            <wp:effectExtent l="0" t="0" r="19050" b="19050"/>
            <wp:docPr id="15"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816AF2" w:rsidRDefault="00816AF2"/>
    <w:p w:rsidR="00816AF2" w:rsidRDefault="00A05F67">
      <w:r>
        <w:t xml:space="preserve">Titolo 1 - ENTRATE CORRENTI DI NATURA TRIBUTARIA, CONTRIBUTIVA E PEREQUATIVA / Tipologia 1010200 - Tipologia 102: Tributi destinati al finanziamento della sanità </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1 - TIPOLOGIA 1010200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1 - ENTRATE CORRENTI DI NATURA TRIBUTARIA, CONTRIBUTIVA E PEREQUATIVA / Tipologia 1010400 - Tipologia 104: Compartecipazioni di tributi</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1 - TIPOLOGIA 1010400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1 - ENTRATE CORRENTI DI NATURA TRIBUTARIA, CONTRIBUTIVA E PEREQUATIVA / Tipologia 1030100 - Tipologia 301: Fondi perequativi da Amministrazioni Centrali</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1 - TIPOLOGIA 1030100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2 - TRASFERIMENTI CORRENTI / Tipologia 2010100 - Tipologia 101: Trasferimenti correnti da Amministrazioni pubbliche</w:t>
      </w:r>
    </w:p>
    <w:tbl>
      <w:tblPr>
        <w:tblStyle w:val="Grigliachiara-Colore5"/>
        <w:tblW w:w="5000" w:type="auto"/>
        <w:tblLook w:val="06A0" w:firstRow="1" w:lastRow="0" w:firstColumn="1" w:lastColumn="0" w:noHBand="1" w:noVBand="1"/>
      </w:tblPr>
      <w:tblGrid>
        <w:gridCol w:w="417"/>
        <w:gridCol w:w="4063"/>
        <w:gridCol w:w="1394"/>
        <w:gridCol w:w="1438"/>
        <w:gridCol w:w="1438"/>
        <w:gridCol w:w="1438"/>
        <w:gridCol w:w="1438"/>
        <w:gridCol w:w="1438"/>
        <w:gridCol w:w="1438"/>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Trasferimenti correnti da Amministrazioni Centrali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96.000,00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91.000,00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69.823,00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59.823,00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55.000,00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55.000,00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2</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Trasferimenti correnti da Amministrazioni Locali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3.050.878,32</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3.059.271,23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3.383.084,02</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3.076.712,19</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3.066.522,80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3.046.030,59</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2 - TIPOLOGIA 2010100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3.146.878,32</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3.150.271,23</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3.452.907,02</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3.136.535,19</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3.121.522,80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3.101.030,59</w:t>
            </w:r>
          </w:p>
        </w:tc>
      </w:tr>
    </w:tbl>
    <w:p w:rsidR="00816AF2" w:rsidRDefault="00A05F67">
      <w:r>
        <w:br w:type="page"/>
      </w:r>
    </w:p>
    <w:p w:rsidR="00816AF2" w:rsidRDefault="00816AF2"/>
    <w:p w:rsidR="00816AF2" w:rsidRDefault="00A05F67">
      <w:pPr>
        <w:jc w:val="center"/>
      </w:pPr>
      <w:r>
        <w:rPr>
          <w:b/>
          <w:i/>
        </w:rPr>
        <w:t>Andamento Entrate Titolo 2 - TRASFERIMENTI CORRENTI / Tipologia 2010100 - Tipologia 101: Trasferimenti correnti da Amministrazioni pubbliche 2015 – 2020</w:t>
      </w:r>
      <w:r>
        <w:rPr>
          <w:noProof/>
          <w:lang w:eastAsia="it-IT"/>
        </w:rPr>
        <w:drawing>
          <wp:inline distT="0" distB="0" distL="0" distR="0">
            <wp:extent cx="9000000" cy="5040000"/>
            <wp:effectExtent l="0" t="0" r="19050" b="19050"/>
            <wp:docPr id="16"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816AF2" w:rsidRDefault="00816AF2"/>
    <w:p w:rsidR="00816AF2" w:rsidRDefault="00A05F67">
      <w:r>
        <w:t>Titolo 2 - TRASFERIMENTI CORRENTI / Tipologia 2010200 - Tipologia 102: Trasferimenti correnti da Famiglie</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2 - TIPOLOGIA 2010200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2 - TRASFERIMENTI CORRENTI / Tipologia 2010300 - Tipologia 103: Trasferimenti correnti da Imprese</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2 - TIPOLOGIA 2010300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2 - TRASFERIMENTI CORRENTI / Tipologia 2010400 - Tipologia 104: Trasferimenti correnti da Istituzioni Sociali Private</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2 - TIPOLOGIA 2010400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2 - TRASFERIMENTI CORRENTI / Tipologia 2010500 - Tipologia 105: Trasferimenti correnti dall'Unione Europea e dal Resto del Mondo</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2 - TIPOLOGIA 2010500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3 - ENTRATE EXTRATRIBUTARIE / Tipologia 3010000 - Tipologia 100: Vendita di beni e servizi e proventi derivanti dalla gestione dei beni</w:t>
      </w:r>
    </w:p>
    <w:tbl>
      <w:tblPr>
        <w:tblStyle w:val="Grigliachiara-Colore5"/>
        <w:tblW w:w="5000" w:type="auto"/>
        <w:tblLook w:val="06A0" w:firstRow="1" w:lastRow="0" w:firstColumn="1" w:lastColumn="0" w:noHBand="1" w:noVBand="1"/>
      </w:tblPr>
      <w:tblGrid>
        <w:gridCol w:w="417"/>
        <w:gridCol w:w="4065"/>
        <w:gridCol w:w="1400"/>
        <w:gridCol w:w="1400"/>
        <w:gridCol w:w="1444"/>
        <w:gridCol w:w="1444"/>
        <w:gridCol w:w="1444"/>
        <w:gridCol w:w="1444"/>
        <w:gridCol w:w="1444"/>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Entrate dalla vendita e dall'erogazione di servizi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931.401,58</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2.272.407,18</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2.814.434,48</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1.472.873,33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1.356.300,00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1.356.300,00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3 - TIPOLOGIA 3010000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931.401,58</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2.272.407,18</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2.814.434,48</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1.472.873,33</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1.356.300,00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1.356.300,00</w:t>
            </w:r>
          </w:p>
        </w:tc>
      </w:tr>
    </w:tbl>
    <w:p w:rsidR="00816AF2" w:rsidRDefault="00A05F67">
      <w:r>
        <w:br w:type="page"/>
      </w:r>
    </w:p>
    <w:p w:rsidR="00816AF2" w:rsidRDefault="00816AF2"/>
    <w:p w:rsidR="00816AF2" w:rsidRDefault="00A05F67">
      <w:pPr>
        <w:jc w:val="center"/>
      </w:pPr>
      <w:r>
        <w:rPr>
          <w:b/>
          <w:i/>
        </w:rPr>
        <w:t>Andamento Entrate Titolo 3 - ENTRATE EXTRATRIBUTARIE / Tipologia 3010000 - Tipologia 100: Vendita di beni e servizi e proventi derivanti dalla gestione dei beni 2015 – 2020</w:t>
      </w:r>
      <w:r>
        <w:rPr>
          <w:noProof/>
          <w:lang w:eastAsia="it-IT"/>
        </w:rPr>
        <w:drawing>
          <wp:inline distT="0" distB="0" distL="0" distR="0">
            <wp:extent cx="9000000" cy="5040000"/>
            <wp:effectExtent l="0" t="0" r="19050" b="19050"/>
            <wp:docPr id="17"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816AF2" w:rsidRDefault="00816AF2"/>
    <w:p w:rsidR="00816AF2" w:rsidRDefault="00A05F67">
      <w:r>
        <w:t>Titolo 3 - ENTRATE EXTRATRIBUTARIE / Tipologia 3020000 - Tipologia 200: Proventi derivanti dall'attività di controllo e repressione delle irregolarità e degli illeciti</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3 - TIPOLOGIA 3020000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3 - ENTRATE EXTRATRIBUTARIE / Tipologia 3030000 - Tipologia 300: Interessi attivi</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Altri interessi attivi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7,90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3 - TIPOLOGIA 3030000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7,90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pPr>
        <w:jc w:val="center"/>
      </w:pPr>
      <w:r>
        <w:rPr>
          <w:b/>
          <w:i/>
        </w:rPr>
        <w:t>Andamento Entrate Titolo 3 - ENTRATE EXTRATRIBUTARIE / Tipologia 3030000 - Tipologia 300: Interessi attivi 2015 – 2020</w:t>
      </w:r>
      <w:r>
        <w:rPr>
          <w:noProof/>
          <w:lang w:eastAsia="it-IT"/>
        </w:rPr>
        <w:drawing>
          <wp:inline distT="0" distB="0" distL="0" distR="0">
            <wp:extent cx="9000000" cy="5040000"/>
            <wp:effectExtent l="0" t="0" r="19050" b="19050"/>
            <wp:docPr id="18"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816AF2" w:rsidRDefault="00816AF2"/>
    <w:p w:rsidR="00816AF2" w:rsidRDefault="00A05F67">
      <w:r>
        <w:lastRenderedPageBreak/>
        <w:t>Titolo 3 - ENTRATE EXTRATRIBUTARIE / Tipologia 3040000 - Tipologia 400: Altre entrate da redditi da capitale</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3 - TIPOLOGIA 3040000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3 - ENTRATE EXTRATRIBUTARIE / Tipologia 3050000 - Tipologia 500: Rimborsi e altre entrate correnti</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Altre entrate correnti n.a.c.</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12.291,51</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3 - TIPOLOGIA 3050000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12.291,51</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pPr>
        <w:jc w:val="center"/>
      </w:pPr>
      <w:r>
        <w:rPr>
          <w:b/>
          <w:i/>
        </w:rPr>
        <w:t>Andamento Entrate Titolo 3 - ENTRATE EXTRATRIBUTARIE / Tipologia 3050000 - Tipologia 500: Rimborsi e altre entrate correnti 2015 – 2020</w:t>
      </w:r>
      <w:r>
        <w:rPr>
          <w:noProof/>
          <w:lang w:eastAsia="it-IT"/>
        </w:rPr>
        <w:drawing>
          <wp:inline distT="0" distB="0" distL="0" distR="0">
            <wp:extent cx="9000000" cy="5040000"/>
            <wp:effectExtent l="0" t="0" r="19050" b="19050"/>
            <wp:docPr id="19"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816AF2" w:rsidRDefault="00816AF2"/>
    <w:p w:rsidR="00816AF2" w:rsidRDefault="00A05F67">
      <w:r>
        <w:lastRenderedPageBreak/>
        <w:t>Titolo 4 - ENTRATE IN CONTO CAPITALE / Tipologia 4010000 - Tipologia 100: Tributi in conto capitale</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4 - TIPOLOGIA 4010000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4 - ENTRATE IN CONTO CAPITALE / Tipologia 4020000 - Tipologia 200: Contributi agli investimenti</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4 - TIPOLOGIA 4020000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4 - ENTRATE IN CONTO CAPITALE / Tipologia 4030000 - Tipologia 300: Altri trasferimenti in conto capitale</w:t>
      </w:r>
    </w:p>
    <w:tbl>
      <w:tblPr>
        <w:tblStyle w:val="Grigliachiara-Colore5"/>
        <w:tblW w:w="5000" w:type="auto"/>
        <w:tblLook w:val="06A0" w:firstRow="1" w:lastRow="0" w:firstColumn="1" w:lastColumn="0" w:noHBand="1" w:noVBand="1"/>
      </w:tblPr>
      <w:tblGrid>
        <w:gridCol w:w="416"/>
        <w:gridCol w:w="4844"/>
        <w:gridCol w:w="1475"/>
        <w:gridCol w:w="1475"/>
        <w:gridCol w:w="1505"/>
        <w:gridCol w:w="1418"/>
        <w:gridCol w:w="1123"/>
        <w:gridCol w:w="1123"/>
        <w:gridCol w:w="1123"/>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Altri trasferimenti in conto capitale da amministrazioni pubbliche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5.845,36</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69.903,34</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111.869,00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4 - TIPOLOGIA 4030000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5.845,36</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69.903,34</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111.869,00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pPr>
        <w:jc w:val="center"/>
      </w:pPr>
      <w:r>
        <w:rPr>
          <w:b/>
          <w:i/>
        </w:rPr>
        <w:t>Andamento Entrate Titolo 4 - ENTRATE IN CONTO CAPITALE / Tipologia 4030000 - Tipologia 300: Altri trasferimenti in conto capitale 2015 – 2020</w:t>
      </w:r>
      <w:r>
        <w:rPr>
          <w:noProof/>
          <w:lang w:eastAsia="it-IT"/>
        </w:rPr>
        <w:drawing>
          <wp:inline distT="0" distB="0" distL="0" distR="0">
            <wp:extent cx="9000000" cy="5040000"/>
            <wp:effectExtent l="0" t="0" r="19050" b="19050"/>
            <wp:docPr id="20"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816AF2" w:rsidRDefault="00816AF2"/>
    <w:p w:rsidR="00816AF2" w:rsidRDefault="00A05F67">
      <w:r>
        <w:lastRenderedPageBreak/>
        <w:t>Titolo 4 - ENTRATE IN CONTO CAPITALE / Tipologia 4040000 - Tipologia 400: Entrate da alienazione di beni materiali e immateriali</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4 - TIPOLOGIA 4040000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4 - ENTRATE IN CONTO CAPITALE / Tipologia 4050000 - Tipologia 500: Altre entrate in conto capitale</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4 - TIPOLOGIA 4050000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5 - ENTRATE DA RIDUZIONE DI ATTIVITA' FINANZIARIE / Tipologia 5010000 - Tipologia 100: Alienazione di attività finanziarie</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5 - TIPOLOGIA 5010000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5 - ENTRATE DA RIDUZIONE DI ATTIVITA' FINANZIARIE / Tipologia 5020000 - Tipologia 200: Riscossione di crediti di breve termine</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5 - TIPOLOGIA 5020000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5 - ENTRATE DA RIDUZIONE DI ATTIVITA' FINANZIARIE / Tipologia 5030000 - Tipologia 300: Riscossione crediti di medio-lungo termine</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5 - TIPOLOGIA 5030000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5 - ENTRATE DA RIDUZIONE DI ATTIVITA' FINANZIARIE / Tipologia 5040000 - Tipologia 400: Altre entrate per riduzione di attività finanziarie</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5 - TIPOLOGIA 5040000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6 - ACCENSIONE PRESTITI / Tipologia 6010000 - Tipologia 100: Emissione di titoli obbligazionari</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6 - TIPOLOGIA 6010000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6 - ACCENSIONE PRESTITI / Tipologia 6020000 - Tipologia 200: Accensione Prestiti a breve termine</w:t>
      </w:r>
    </w:p>
    <w:tbl>
      <w:tblPr>
        <w:tblStyle w:val="Grigliachiara-Colore5"/>
        <w:tblW w:w="5000" w:type="auto"/>
        <w:tblLook w:val="06A0" w:firstRow="1" w:lastRow="0" w:firstColumn="1" w:lastColumn="0" w:noHBand="1" w:noVBand="1"/>
      </w:tblPr>
      <w:tblGrid>
        <w:gridCol w:w="416"/>
        <w:gridCol w:w="4019"/>
        <w:gridCol w:w="1409"/>
        <w:gridCol w:w="1409"/>
        <w:gridCol w:w="1441"/>
        <w:gridCol w:w="1452"/>
        <w:gridCol w:w="1452"/>
        <w:gridCol w:w="1452"/>
        <w:gridCol w:w="1452"/>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Anticipazioni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982.917,47</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1.022.644,83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1.022.644,83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1.022.000,00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6 - TIPOLOGIA 6020000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982.917,47</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1.022.644,83</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1.022.644,83</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1.022.000,00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1.022.000,00</w:t>
            </w:r>
          </w:p>
        </w:tc>
      </w:tr>
    </w:tbl>
    <w:p w:rsidR="00816AF2" w:rsidRDefault="00A05F67">
      <w:r>
        <w:br w:type="page"/>
      </w:r>
    </w:p>
    <w:p w:rsidR="00816AF2" w:rsidRDefault="00816AF2"/>
    <w:p w:rsidR="00816AF2" w:rsidRDefault="00A05F67">
      <w:pPr>
        <w:jc w:val="center"/>
      </w:pPr>
      <w:r>
        <w:rPr>
          <w:b/>
          <w:i/>
        </w:rPr>
        <w:t>Andamento Entrate Titolo 6 - ACCENSIONE PRESTITI / Tipologia 6020000 - Tipologia 200: Accensione Prestiti a breve termine 2015 – 2020</w:t>
      </w:r>
      <w:r>
        <w:rPr>
          <w:noProof/>
          <w:lang w:eastAsia="it-IT"/>
        </w:rPr>
        <w:drawing>
          <wp:inline distT="0" distB="0" distL="0" distR="0">
            <wp:extent cx="9000000" cy="5040000"/>
            <wp:effectExtent l="0" t="0" r="19050" b="19050"/>
            <wp:docPr id="21"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816AF2" w:rsidRDefault="00816AF2"/>
    <w:p w:rsidR="00816AF2" w:rsidRDefault="00A05F67">
      <w:r>
        <w:lastRenderedPageBreak/>
        <w:t>Titolo 6 - ACCENSIONE PRESTITI / Tipologia 6030000 - Tipologia 300: Accensione Mutui e altri finanziamenti a medio lungo termine</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6 - TIPOLOGIA 6030000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6 - ACCENSIONE PRESTITI / Tipologia 6040000 - Tipologia 400: Altre forme di indebitamento</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6 - TIPOLOGIA 6040000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7 - ANTICIPAZIONI DA ISTITUTO TESORIERE/CASSIERE / Tipologia 7010000 - Tipologia 100: Anticipazioni da istituto tesoriere/cassiere</w:t>
      </w:r>
    </w:p>
    <w:tbl>
      <w:tblPr>
        <w:tblStyle w:val="Grigliachiara-Colore5"/>
        <w:tblW w:w="5000" w:type="auto"/>
        <w:tblLook w:val="06A0" w:firstRow="1" w:lastRow="0" w:firstColumn="1" w:lastColumn="0" w:noHBand="1" w:noVBand="1"/>
      </w:tblPr>
      <w:tblGrid>
        <w:gridCol w:w="417"/>
        <w:gridCol w:w="4865"/>
        <w:gridCol w:w="1502"/>
        <w:gridCol w:w="1502"/>
        <w:gridCol w:w="1531"/>
        <w:gridCol w:w="1202"/>
        <w:gridCol w:w="1161"/>
        <w:gridCol w:w="1161"/>
        <w:gridCol w:w="1161"/>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7 - TIPOLOGIA 7010000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816AF2" w:rsidRDefault="00A05F67">
      <w:r>
        <w:br w:type="page"/>
      </w:r>
    </w:p>
    <w:p w:rsidR="00816AF2" w:rsidRDefault="00816AF2"/>
    <w:p w:rsidR="00816AF2" w:rsidRDefault="00A05F67">
      <w:r>
        <w:t>Titolo 9 - ENTRATE PER CONTO TERZI E PARTITE DI GIRO / Tipologia 9010000 - Tipologia 100: Entrate per partite di giro</w:t>
      </w:r>
    </w:p>
    <w:tbl>
      <w:tblPr>
        <w:tblStyle w:val="Grigliachiara-Colore5"/>
        <w:tblW w:w="5000" w:type="auto"/>
        <w:tblLook w:val="06A0" w:firstRow="1" w:lastRow="0" w:firstColumn="1" w:lastColumn="0" w:noHBand="1" w:noVBand="1"/>
      </w:tblPr>
      <w:tblGrid>
        <w:gridCol w:w="417"/>
        <w:gridCol w:w="4233"/>
        <w:gridCol w:w="1438"/>
        <w:gridCol w:w="1438"/>
        <w:gridCol w:w="1468"/>
        <w:gridCol w:w="1377"/>
        <w:gridCol w:w="1377"/>
        <w:gridCol w:w="1377"/>
        <w:gridCol w:w="1377"/>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Altre ritenute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319.028,43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400.003,80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2</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Ritenute su redditi da lavoro dipendente</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24.213,56</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50.000,00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50.000,00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50.000,00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50.000,00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50.000,00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9 - TIPOLOGIA 9010000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343.241,99</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450.000,00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450.003,80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450.000,00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450.000,00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450.000,00</w:t>
            </w:r>
          </w:p>
        </w:tc>
      </w:tr>
    </w:tbl>
    <w:p w:rsidR="00816AF2" w:rsidRDefault="00A05F67">
      <w:r>
        <w:br w:type="page"/>
      </w:r>
    </w:p>
    <w:p w:rsidR="00816AF2" w:rsidRDefault="00816AF2"/>
    <w:p w:rsidR="00816AF2" w:rsidRDefault="00A05F67">
      <w:pPr>
        <w:jc w:val="center"/>
      </w:pPr>
      <w:r>
        <w:rPr>
          <w:b/>
          <w:i/>
        </w:rPr>
        <w:t>Andamento Entrate Titolo 9 - ENTRATE PER CONTO TERZI E PARTITE DI GIRO / Tipologia 9010000 - Tipologia 100: Entrate per partite di giro 2015 – 2020</w:t>
      </w:r>
      <w:r>
        <w:rPr>
          <w:noProof/>
          <w:lang w:eastAsia="it-IT"/>
        </w:rPr>
        <w:drawing>
          <wp:inline distT="0" distB="0" distL="0" distR="0">
            <wp:extent cx="9000000" cy="5040000"/>
            <wp:effectExtent l="0" t="0" r="19050" b="19050"/>
            <wp:docPr id="22"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816AF2" w:rsidRDefault="00816AF2"/>
    <w:p w:rsidR="00816AF2" w:rsidRDefault="00A05F67">
      <w:r>
        <w:lastRenderedPageBreak/>
        <w:t>Titolo 9 - ENTRATE PER CONTO TERZI E PARTITE DI GIRO / Tipologia 9020000 - Tipologia 200: Entrate per conto terzi</w:t>
      </w:r>
    </w:p>
    <w:tbl>
      <w:tblPr>
        <w:tblStyle w:val="Grigliachiara-Colore5"/>
        <w:tblW w:w="5000" w:type="auto"/>
        <w:tblLook w:val="06A0" w:firstRow="1" w:lastRow="0" w:firstColumn="1" w:lastColumn="0" w:noHBand="1" w:noVBand="1"/>
      </w:tblPr>
      <w:tblGrid>
        <w:gridCol w:w="416"/>
        <w:gridCol w:w="4223"/>
        <w:gridCol w:w="1438"/>
        <w:gridCol w:w="1439"/>
        <w:gridCol w:w="1470"/>
        <w:gridCol w:w="1379"/>
        <w:gridCol w:w="1379"/>
        <w:gridCol w:w="1379"/>
        <w:gridCol w:w="1379"/>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816AF2" w:rsidRDefault="00A05F67">
            <w:pPr>
              <w:jc w:val="center"/>
            </w:pPr>
            <w:r>
              <w:rPr>
                <w:rFonts w:ascii="Calibri" w:hAnsi="Calibri" w:cs="Calibri"/>
                <w:i/>
                <w:sz w:val="20"/>
                <w:szCs w:val="20"/>
              </w:rPr>
              <w:t>N°</w:t>
            </w:r>
          </w:p>
        </w:tc>
        <w:tc>
          <w:tcPr>
            <w:tcW w:w="13035"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816AF2" w:rsidRDefault="00816AF2"/>
        </w:tc>
        <w:tc>
          <w:tcPr>
            <w:tcW w:w="13035" w:type="dxa"/>
            <w:vMerge/>
            <w:vAlign w:val="center"/>
          </w:tcPr>
          <w:p w:rsidR="00816AF2" w:rsidRDefault="00816AF2">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(Accertato)</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 (Previsione)</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c>
          <w:tcPr>
            <w:tcW w:w="2265" w:type="dxa"/>
            <w:vAlign w:val="center"/>
          </w:tcPr>
          <w:p w:rsidR="00816AF2" w:rsidRDefault="00A05F67">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2020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1</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Depositi di/presso terzi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w:t>
            </w:r>
          </w:p>
        </w:tc>
      </w:tr>
      <w:tr w:rsidR="00816AF2" w:rsidTr="00816AF2">
        <w:tc>
          <w:tcPr>
            <w:cnfStyle w:val="001000000000" w:firstRow="0" w:lastRow="0" w:firstColumn="1" w:lastColumn="0" w:oddVBand="0" w:evenVBand="0" w:oddHBand="0" w:evenHBand="0" w:firstRowFirstColumn="0" w:firstRowLastColumn="0" w:lastRowFirstColumn="0" w:lastRowLastColumn="0"/>
            <w:tcW w:w="285" w:type="dxa"/>
            <w:vAlign w:val="center"/>
          </w:tcPr>
          <w:p w:rsidR="00816AF2" w:rsidRDefault="00A05F67">
            <w:pPr>
              <w:jc w:val="center"/>
            </w:pPr>
            <w:r>
              <w:rPr>
                <w:rFonts w:ascii="Calibri" w:hAnsi="Calibri" w:cs="Calibri"/>
                <w:sz w:val="18"/>
                <w:szCs w:val="18"/>
              </w:rPr>
              <w:t>2</w:t>
            </w:r>
          </w:p>
        </w:tc>
        <w:tc>
          <w:tcPr>
            <w:tcW w:w="13035" w:type="dxa"/>
            <w:vAlign w:val="center"/>
          </w:tcPr>
          <w:p w:rsidR="00816AF2" w:rsidRDefault="00A05F67">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Altre entrate per conto terzi</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6.996,33</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653.000,00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656.000,00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653.000,00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653.000,00</w:t>
            </w:r>
          </w:p>
        </w:tc>
        <w:tc>
          <w:tcPr>
            <w:tcW w:w="2265" w:type="dxa"/>
            <w:vAlign w:val="center"/>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653.000,00</w:t>
            </w:r>
          </w:p>
        </w:tc>
      </w:tr>
      <w:tr w:rsidR="00816AF2" w:rsidTr="00816AF2">
        <w:tc>
          <w:tcPr>
            <w:cnfStyle w:val="001000000000" w:firstRow="0" w:lastRow="0" w:firstColumn="1" w:lastColumn="0" w:oddVBand="0" w:evenVBand="0" w:oddHBand="0" w:evenHBand="0" w:firstRowFirstColumn="0" w:firstRowLastColumn="0" w:lastRowFirstColumn="0" w:lastRowLastColumn="0"/>
            <w:tcW w:w="2310" w:type="dxa"/>
            <w:gridSpan w:val="2"/>
          </w:tcPr>
          <w:p w:rsidR="00816AF2" w:rsidRDefault="00A05F67">
            <w:pPr>
              <w:jc w:val="center"/>
            </w:pPr>
            <w:r>
              <w:rPr>
                <w:rFonts w:ascii="Calibri" w:hAnsi="Calibri" w:cs="Calibri"/>
                <w:sz w:val="20"/>
                <w:szCs w:val="20"/>
              </w:rPr>
              <w:t>TOTALE TITOLO 9 - TIPOLOGIA 9020000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6.996,33</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693.000,00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696.000,00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693.000,00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693.000,00</w:t>
            </w:r>
          </w:p>
        </w:tc>
        <w:tc>
          <w:tcPr>
            <w:tcW w:w="2310" w:type="dxa"/>
          </w:tcPr>
          <w:p w:rsidR="00816AF2" w:rsidRDefault="00A05F67">
            <w:pPr>
              <w:jc w:val="right"/>
              <w:cnfStyle w:val="000000000000" w:firstRow="0" w:lastRow="0" w:firstColumn="0" w:lastColumn="0" w:oddVBand="0" w:evenVBand="0" w:oddHBand="0" w:evenHBand="0" w:firstRowFirstColumn="0" w:firstRowLastColumn="0" w:lastRowFirstColumn="0" w:lastRowLastColumn="0"/>
            </w:pPr>
            <w:r>
              <w:rPr>
                <w:b/>
                <w:sz w:val="18"/>
                <w:szCs w:val="18"/>
              </w:rPr>
              <w:t>693.000,00</w:t>
            </w:r>
          </w:p>
        </w:tc>
      </w:tr>
    </w:tbl>
    <w:p w:rsidR="00816AF2" w:rsidRDefault="00A05F67">
      <w:r>
        <w:br w:type="page"/>
      </w:r>
    </w:p>
    <w:p w:rsidR="00816AF2" w:rsidRDefault="00816AF2"/>
    <w:p w:rsidR="00816AF2" w:rsidRDefault="00A05F67">
      <w:pPr>
        <w:jc w:val="center"/>
      </w:pPr>
      <w:r>
        <w:rPr>
          <w:b/>
          <w:i/>
        </w:rPr>
        <w:t>Andamento Entrate Titolo 9 - ENTRATE PER CONTO TERZI E PARTITE DI GIRO / Tipologia 9020000 - Tipologia 200: Entrate per conto terzi 2015 – 2020</w:t>
      </w:r>
      <w:r>
        <w:rPr>
          <w:noProof/>
          <w:lang w:eastAsia="it-IT"/>
        </w:rPr>
        <w:drawing>
          <wp:inline distT="0" distB="0" distL="0" distR="0">
            <wp:extent cx="9000000" cy="5040000"/>
            <wp:effectExtent l="0" t="0" r="19050" b="19050"/>
            <wp:docPr id="23"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816AF2" w:rsidRDefault="00816AF2"/>
    <w:p w:rsidR="00A14A70" w:rsidRPr="009A4BD5" w:rsidRDefault="00A14A70" w:rsidP="009A4BD5">
      <w:pPr>
        <w:spacing w:line="360" w:lineRule="auto"/>
        <w:rPr>
          <w:color w:val="262626" w:themeColor="text1" w:themeTint="D9"/>
        </w:rPr>
        <w:sectPr w:rsidR="00A14A70" w:rsidRPr="009A4BD5" w:rsidSect="004B100F">
          <w:headerReference w:type="default" r:id="rId59"/>
          <w:footerReference w:type="default" r:id="rId60"/>
          <w:pgSz w:w="16838" w:h="11906" w:orient="landscape"/>
          <w:pgMar w:top="1134" w:right="1418" w:bottom="1134" w:left="1134" w:header="709" w:footer="709" w:gutter="0"/>
          <w:cols w:space="708"/>
          <w:docGrid w:linePitch="360"/>
        </w:sectPr>
      </w:pPr>
    </w:p>
    <w:p w:rsidR="006C4DE7" w:rsidRDefault="00133951" w:rsidP="00E224FD">
      <w:pPr>
        <w:pStyle w:val="Titolo3"/>
      </w:pPr>
      <w:bookmarkStart w:id="21" w:name="_Toc394322439"/>
      <w:r>
        <w:lastRenderedPageBreak/>
        <w:t xml:space="preserve"> </w:t>
      </w:r>
      <w:bookmarkStart w:id="22" w:name="_Toc496177149"/>
      <w:r w:rsidR="006C4DE7" w:rsidRPr="00E224FD">
        <w:t>Gli equilibri di bilancio</w:t>
      </w:r>
      <w:bookmarkEnd w:id="21"/>
      <w:r w:rsidR="006C4DE7" w:rsidRPr="009F6BC4">
        <w:t xml:space="preserve"> </w:t>
      </w:r>
      <w:r>
        <w:t>2017/2019</w:t>
      </w:r>
      <w:bookmarkEnd w:id="22"/>
    </w:p>
    <w:p w:rsidR="006C4DE7" w:rsidRDefault="006C4DE7" w:rsidP="006C4DE7"/>
    <w:p w:rsidR="006218A5" w:rsidRDefault="006218A5" w:rsidP="003E4421">
      <w:pPr>
        <w:spacing w:line="360" w:lineRule="auto"/>
      </w:pPr>
      <w:r>
        <w:t>Come argomentato nei paragrafi precedenti, tra i vincoli ineludibili di qualunque azione amministrativa vi è il mantenimento di una situazione finanziaria equilibrata, in assenza della quale non sarebbe immaginabile il perseguimento di qualunque strategia ‘evolutiva’, ma più gravemente si incorrerebbe in gravi sanzioni.</w:t>
      </w:r>
    </w:p>
    <w:p w:rsidR="006218A5" w:rsidRPr="005A132C" w:rsidRDefault="006218A5" w:rsidP="003E4421">
      <w:pPr>
        <w:spacing w:line="360" w:lineRule="auto"/>
      </w:pPr>
      <w:r>
        <w:t>Presentare il bilancio articolato in sezioni risponde all’esigenza di dimostrare la correttezza dell’attuale gestione, quale base ineludibile per il perseguimento di qualunque progettualità e nel contempo aiuta la comprensione della struttura del bilancio dell’ente.</w:t>
      </w:r>
    </w:p>
    <w:p w:rsidR="006218A5" w:rsidRDefault="006218A5" w:rsidP="006C4DE7"/>
    <w:tbl>
      <w:tblPr>
        <w:tblStyle w:val="Grigliachiara-Colore5"/>
        <w:tblW w:w="0" w:type="auto"/>
        <w:tblLook w:val="04A0" w:firstRow="1" w:lastRow="0" w:firstColumn="1" w:lastColumn="0" w:noHBand="0" w:noVBand="1"/>
        <w:tblCaption w:val="Equilibri di bilancio"/>
      </w:tblPr>
      <w:tblGrid>
        <w:gridCol w:w="3652"/>
        <w:gridCol w:w="1633"/>
        <w:gridCol w:w="1805"/>
        <w:gridCol w:w="1382"/>
        <w:gridCol w:w="1382"/>
      </w:tblGrid>
      <w:tr w:rsidR="00680947" w:rsidRPr="00377769" w:rsidTr="00F23A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center"/>
              <w:rPr>
                <w:rFonts w:ascii="Calibri" w:hAnsi="Calibri"/>
                <w:sz w:val="20"/>
                <w:szCs w:val="20"/>
              </w:rPr>
            </w:pPr>
            <w:r w:rsidRPr="00377769">
              <w:rPr>
                <w:rFonts w:ascii="Calibri" w:hAnsi="Calibri"/>
                <w:sz w:val="20"/>
                <w:szCs w:val="20"/>
              </w:rPr>
              <w:t>EQUILIBRIO ECONOMICO - FINANZIARIO</w:t>
            </w:r>
          </w:p>
        </w:tc>
        <w:tc>
          <w:tcPr>
            <w:tcW w:w="1805" w:type="dxa"/>
            <w:vAlign w:val="center"/>
          </w:tcPr>
          <w:p w:rsidR="00680947" w:rsidRPr="00377769" w:rsidRDefault="00680947" w:rsidP="00F23AF8">
            <w:pPr>
              <w:jc w:val="center"/>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377769">
              <w:rPr>
                <w:rFonts w:ascii="Calibri" w:hAnsi="Calibri"/>
                <w:sz w:val="20"/>
                <w:szCs w:val="20"/>
              </w:rPr>
              <w:t xml:space="preserve">COMPETENZA ANNO DI RIFERIMENTO DEL BILANCIO </w:t>
            </w:r>
            <w:r>
              <w:rPr>
                <w:rFonts w:ascii="Calibri" w:hAnsi="Calibri"/>
                <w:sz w:val="20"/>
                <w:szCs w:val="20"/>
              </w:rPr>
              <w:t>2016</w:t>
            </w:r>
          </w:p>
        </w:tc>
        <w:tc>
          <w:tcPr>
            <w:tcW w:w="1382" w:type="dxa"/>
            <w:vAlign w:val="center"/>
          </w:tcPr>
          <w:p w:rsidR="00680947" w:rsidRPr="00377769" w:rsidRDefault="00680947" w:rsidP="00F23AF8">
            <w:pPr>
              <w:jc w:val="center"/>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377769">
              <w:rPr>
                <w:rFonts w:ascii="Calibri" w:hAnsi="Calibri"/>
                <w:sz w:val="20"/>
                <w:szCs w:val="20"/>
              </w:rPr>
              <w:t xml:space="preserve">COMPETENZA ANNO </w:t>
            </w:r>
            <w:r>
              <w:rPr>
                <w:rFonts w:ascii="Calibri" w:hAnsi="Calibri"/>
                <w:sz w:val="20"/>
                <w:szCs w:val="20"/>
              </w:rPr>
              <w:t>2017</w:t>
            </w:r>
          </w:p>
        </w:tc>
        <w:tc>
          <w:tcPr>
            <w:tcW w:w="1382" w:type="dxa"/>
            <w:vAlign w:val="center"/>
          </w:tcPr>
          <w:p w:rsidR="00680947" w:rsidRPr="00377769" w:rsidRDefault="00680947" w:rsidP="00F23AF8">
            <w:pPr>
              <w:jc w:val="center"/>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377769">
              <w:rPr>
                <w:rFonts w:ascii="Calibri" w:hAnsi="Calibri"/>
                <w:sz w:val="20"/>
                <w:szCs w:val="20"/>
              </w:rPr>
              <w:t xml:space="preserve">COMPETENZA ANNO </w:t>
            </w:r>
            <w:r>
              <w:rPr>
                <w:rFonts w:ascii="Calibri" w:hAnsi="Calibri"/>
                <w:sz w:val="20"/>
                <w:szCs w:val="20"/>
              </w:rPr>
              <w:t>2018</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right w:val="nil"/>
            </w:tcBorders>
            <w:vAlign w:val="center"/>
          </w:tcPr>
          <w:p w:rsidR="00680947" w:rsidRPr="00377769" w:rsidRDefault="00680947" w:rsidP="00F23AF8">
            <w:pPr>
              <w:jc w:val="left"/>
              <w:rPr>
                <w:rFonts w:ascii="Calibri" w:hAnsi="Calibri"/>
                <w:b w:val="0"/>
                <w:bCs w:val="0"/>
                <w:sz w:val="18"/>
                <w:szCs w:val="18"/>
              </w:rPr>
            </w:pPr>
            <w:r w:rsidRPr="00377769">
              <w:rPr>
                <w:rFonts w:ascii="Calibri" w:hAnsi="Calibri"/>
                <w:b w:val="0"/>
                <w:sz w:val="18"/>
                <w:szCs w:val="18"/>
              </w:rPr>
              <w:t>Fondo di cassa all’inizio dell’esercizio</w:t>
            </w:r>
          </w:p>
        </w:tc>
        <w:tc>
          <w:tcPr>
            <w:tcW w:w="1633" w:type="dxa"/>
            <w:tcBorders>
              <w:left w:val="nil"/>
              <w:bottom w:val="nil"/>
            </w:tcBorders>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sz w:val="18"/>
                <w:szCs w:val="18"/>
              </w:rPr>
            </w:pPr>
            <w:r w:rsidRPr="00377769">
              <w:rPr>
                <w:rFonts w:ascii="Calibri" w:hAnsi="Calibri"/>
                <w:b w:val="0"/>
                <w:bCs w:val="0"/>
                <w:sz w:val="18"/>
                <w:szCs w:val="18"/>
              </w:rPr>
              <w:t>A)</w:t>
            </w:r>
            <w:r w:rsidRPr="00377769">
              <w:rPr>
                <w:rFonts w:ascii="Calibri" w:hAnsi="Calibri"/>
                <w:b w:val="0"/>
                <w:sz w:val="18"/>
                <w:szCs w:val="18"/>
              </w:rPr>
              <w:t xml:space="preserve"> Fondo pluriennale vincolato per spese correnti</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sz w:val="18"/>
                <w:szCs w:val="18"/>
              </w:rPr>
            </w:pPr>
            <w:r w:rsidRPr="00377769">
              <w:rPr>
                <w:rFonts w:ascii="Calibri" w:hAnsi="Calibri" w:cs="Arial Narrow"/>
                <w:b w:val="0"/>
                <w:spacing w:val="-8"/>
                <w:sz w:val="18"/>
                <w:szCs w:val="18"/>
              </w:rPr>
              <w:t>AA) Recupero disavanzo di amministrazione esercizio precedente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675E15">
            <w:pPr>
              <w:jc w:val="left"/>
              <w:rPr>
                <w:rFonts w:ascii="Calibri" w:hAnsi="Calibri"/>
                <w:sz w:val="18"/>
                <w:szCs w:val="18"/>
              </w:rPr>
            </w:pPr>
            <w:r w:rsidRPr="00377769">
              <w:rPr>
                <w:rFonts w:ascii="Calibri" w:hAnsi="Calibri" w:cs="Arial Narrow"/>
                <w:b w:val="0"/>
                <w:spacing w:val="-8"/>
                <w:sz w:val="18"/>
                <w:szCs w:val="18"/>
              </w:rPr>
              <w:t>B) En</w:t>
            </w:r>
            <w:r w:rsidR="00675E15">
              <w:rPr>
                <w:rFonts w:ascii="Calibri" w:hAnsi="Calibri" w:cs="Arial Narrow"/>
                <w:b w:val="0"/>
                <w:spacing w:val="-8"/>
                <w:sz w:val="18"/>
                <w:szCs w:val="18"/>
              </w:rPr>
              <w:t>trate Titoli 1.00 - 2.00 - 3.00</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r>
      <w:tr w:rsidR="00675E15"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75E15" w:rsidRPr="00675E15" w:rsidRDefault="00675E15" w:rsidP="007C7A4A">
            <w:pPr>
              <w:pStyle w:val="Paragrafoelenco"/>
              <w:numPr>
                <w:ilvl w:val="0"/>
                <w:numId w:val="3"/>
              </w:numPr>
              <w:jc w:val="left"/>
              <w:rPr>
                <w:rFonts w:ascii="Calibri" w:hAnsi="Calibri" w:cs="Arial Narrow"/>
                <w:spacing w:val="-8"/>
                <w:sz w:val="18"/>
                <w:szCs w:val="18"/>
              </w:rPr>
            </w:pPr>
            <w:r>
              <w:rPr>
                <w:rFonts w:ascii="Calibri" w:hAnsi="Calibri" w:cs="Arial Narrow"/>
                <w:sz w:val="18"/>
                <w:szCs w:val="18"/>
              </w:rPr>
              <w:t>D</w:t>
            </w:r>
            <w:r w:rsidRPr="00675E15">
              <w:rPr>
                <w:rFonts w:ascii="Calibri" w:hAnsi="Calibri" w:cs="Arial Narrow"/>
                <w:sz w:val="18"/>
                <w:szCs w:val="18"/>
              </w:rPr>
              <w:t>i cui per estinzione anticipata di prestiti</w:t>
            </w:r>
          </w:p>
        </w:tc>
        <w:tc>
          <w:tcPr>
            <w:tcW w:w="1805" w:type="dxa"/>
            <w:vAlign w:val="center"/>
          </w:tcPr>
          <w:p w:rsidR="00675E15" w:rsidRPr="00377769" w:rsidRDefault="00675E15"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75E15" w:rsidRPr="00377769" w:rsidRDefault="00675E15"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75E15" w:rsidRPr="00377769" w:rsidRDefault="00675E15"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sz w:val="18"/>
                <w:szCs w:val="18"/>
              </w:rPr>
            </w:pPr>
            <w:r w:rsidRPr="00377769">
              <w:rPr>
                <w:rFonts w:ascii="Calibri" w:hAnsi="Calibri" w:cs="Arial Narrow"/>
                <w:b w:val="0"/>
                <w:spacing w:val="-8"/>
                <w:sz w:val="18"/>
                <w:szCs w:val="18"/>
              </w:rPr>
              <w:t>C) Entrate Titolo 4.02.06 - Contributi agli investimenti direttamente destinati al rimborso dei prestiti da amministrazioni pubbliche</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sz w:val="18"/>
                <w:szCs w:val="18"/>
              </w:rPr>
            </w:pPr>
            <w:r w:rsidRPr="00377769">
              <w:rPr>
                <w:rFonts w:ascii="Calibri" w:hAnsi="Calibri" w:cs="Arial Narrow"/>
                <w:b w:val="0"/>
                <w:spacing w:val="-8"/>
                <w:sz w:val="18"/>
                <w:szCs w:val="18"/>
              </w:rPr>
              <w:t>D) Spese Titolo 1.00 - Spese correnti di cui</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D51AA5" w:rsidRDefault="00680947" w:rsidP="007C7A4A">
            <w:pPr>
              <w:pStyle w:val="Paragrafoelenco"/>
              <w:numPr>
                <w:ilvl w:val="0"/>
                <w:numId w:val="3"/>
              </w:numPr>
              <w:jc w:val="left"/>
              <w:rPr>
                <w:rFonts w:ascii="Calibri" w:hAnsi="Calibri"/>
                <w:sz w:val="18"/>
                <w:szCs w:val="18"/>
              </w:rPr>
            </w:pPr>
            <w:r w:rsidRPr="00D51AA5">
              <w:rPr>
                <w:rFonts w:ascii="Calibri" w:hAnsi="Calibri" w:cs="Arial Narrow"/>
                <w:sz w:val="18"/>
                <w:szCs w:val="18"/>
              </w:rPr>
              <w:t>Fondo pluriennale vincolato</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D51AA5" w:rsidRDefault="00680947" w:rsidP="007C7A4A">
            <w:pPr>
              <w:pStyle w:val="Paragrafoelenco"/>
              <w:numPr>
                <w:ilvl w:val="0"/>
                <w:numId w:val="3"/>
              </w:numPr>
              <w:jc w:val="left"/>
              <w:rPr>
                <w:rFonts w:ascii="Calibri" w:hAnsi="Calibri"/>
                <w:sz w:val="18"/>
                <w:szCs w:val="18"/>
              </w:rPr>
            </w:pPr>
            <w:r w:rsidRPr="00D51AA5">
              <w:rPr>
                <w:rFonts w:ascii="Calibri" w:hAnsi="Calibri" w:cs="Arial Narrow"/>
                <w:sz w:val="18"/>
                <w:szCs w:val="18"/>
              </w:rPr>
              <w:t>Fondo crediti dubbia esigibilità</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sz w:val="18"/>
                <w:szCs w:val="18"/>
              </w:rPr>
            </w:pPr>
            <w:r w:rsidRPr="00377769">
              <w:rPr>
                <w:rFonts w:ascii="Calibri" w:hAnsi="Calibri" w:cs="Arial Narrow"/>
                <w:b w:val="0"/>
                <w:sz w:val="18"/>
                <w:szCs w:val="18"/>
              </w:rPr>
              <w:t>E) Spese Titolo 2.04 - Trasferimenti in conto capitale</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sz w:val="18"/>
                <w:szCs w:val="18"/>
              </w:rPr>
            </w:pPr>
            <w:r w:rsidRPr="00377769">
              <w:rPr>
                <w:rFonts w:ascii="Calibri" w:hAnsi="Calibri" w:cs="Arial Narrow"/>
                <w:b w:val="0"/>
                <w:sz w:val="18"/>
                <w:szCs w:val="18"/>
              </w:rPr>
              <w:t>F) Spese Titolo 4.00 - Quote di capitale amm.to dei mutui e presti obbligazionari</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D51AA5" w:rsidRDefault="00680947" w:rsidP="007C7A4A">
            <w:pPr>
              <w:pStyle w:val="Paragrafoelenco"/>
              <w:numPr>
                <w:ilvl w:val="0"/>
                <w:numId w:val="4"/>
              </w:numPr>
              <w:jc w:val="left"/>
              <w:rPr>
                <w:rFonts w:ascii="Calibri" w:hAnsi="Calibri"/>
                <w:sz w:val="18"/>
                <w:szCs w:val="18"/>
              </w:rPr>
            </w:pPr>
            <w:r w:rsidRPr="00D51AA5">
              <w:rPr>
                <w:rFonts w:ascii="Calibri" w:hAnsi="Calibri" w:cs="Arial Narrow"/>
                <w:spacing w:val="-5"/>
                <w:sz w:val="18"/>
                <w:szCs w:val="18"/>
              </w:rPr>
              <w:t>Di cui per estinzione anticipata di prestiti</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spacing w:val="-5"/>
                <w:sz w:val="20"/>
                <w:szCs w:val="20"/>
              </w:rPr>
            </w:pPr>
            <w:r w:rsidRPr="00377769">
              <w:rPr>
                <w:rFonts w:ascii="Calibri" w:hAnsi="Calibri" w:cs="Arial Narrow"/>
                <w:spacing w:val="-5"/>
                <w:sz w:val="20"/>
                <w:szCs w:val="20"/>
              </w:rPr>
              <w:t xml:space="preserve">SOMMA FINALE </w:t>
            </w:r>
          </w:p>
          <w:p w:rsidR="00680947" w:rsidRPr="00377769" w:rsidRDefault="00680947" w:rsidP="00F23AF8">
            <w:pPr>
              <w:jc w:val="right"/>
              <w:rPr>
                <w:rFonts w:ascii="Calibri" w:hAnsi="Calibri"/>
                <w:b w:val="0"/>
                <w:sz w:val="20"/>
                <w:szCs w:val="20"/>
              </w:rPr>
            </w:pPr>
            <w:r w:rsidRPr="00377769">
              <w:rPr>
                <w:rFonts w:ascii="Calibri" w:hAnsi="Calibri" w:cs="Arial Narrow"/>
                <w:spacing w:val="-5"/>
                <w:sz w:val="20"/>
                <w:szCs w:val="20"/>
              </w:rPr>
              <w:t>G=A-AA+B+C-D-E-F</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4" w:type="dxa"/>
            <w:gridSpan w:val="5"/>
            <w:vAlign w:val="center"/>
          </w:tcPr>
          <w:p w:rsidR="00680947" w:rsidRPr="00377769" w:rsidRDefault="00680947" w:rsidP="00F23AF8">
            <w:pPr>
              <w:jc w:val="center"/>
              <w:rPr>
                <w:rFonts w:ascii="Calibri" w:hAnsi="Calibri" w:cs="Arial Narrow"/>
                <w:spacing w:val="-5"/>
                <w:sz w:val="20"/>
                <w:szCs w:val="20"/>
              </w:rPr>
            </w:pPr>
            <w:r w:rsidRPr="00377769">
              <w:rPr>
                <w:rFonts w:ascii="Calibri" w:hAnsi="Calibri" w:cs="Arial Narrow"/>
                <w:spacing w:val="-5"/>
                <w:sz w:val="20"/>
                <w:szCs w:val="20"/>
              </w:rPr>
              <w:t>ALTRE POSTE DIFFERENZIALI, PER ECCEZIONI PREVISTE DA NORME DI LEGGE, CHE HANNO EFFETTO SULL’EQUILIBRIO</w:t>
            </w:r>
          </w:p>
          <w:p w:rsidR="00680947" w:rsidRPr="00377769" w:rsidRDefault="00680947" w:rsidP="00F23AF8">
            <w:pPr>
              <w:jc w:val="center"/>
              <w:rPr>
                <w:rFonts w:ascii="Calibri" w:hAnsi="Calibri"/>
                <w:sz w:val="20"/>
                <w:szCs w:val="20"/>
              </w:rPr>
            </w:pPr>
            <w:r w:rsidRPr="00377769">
              <w:rPr>
                <w:rFonts w:ascii="Calibri" w:hAnsi="Calibri" w:cs="Arial Narrow"/>
                <w:spacing w:val="-5"/>
                <w:sz w:val="20"/>
                <w:szCs w:val="20"/>
              </w:rPr>
              <w:t>EX ARTICOLO 162, COMMA 6, DEL TESTO UNICO DELLE LEGGI SULL’ORDINAMENTO DEGLI ENTI LOCALI</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bCs w:val="0"/>
                <w:spacing w:val="-5"/>
                <w:sz w:val="18"/>
                <w:szCs w:val="18"/>
              </w:rPr>
              <w:t>H) Utilizzo avanzo di amministrazione per spese correnti</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D51AA5" w:rsidRDefault="00680947" w:rsidP="007C7A4A">
            <w:pPr>
              <w:pStyle w:val="Paragrafoelenco"/>
              <w:numPr>
                <w:ilvl w:val="0"/>
                <w:numId w:val="4"/>
              </w:numPr>
              <w:jc w:val="left"/>
              <w:rPr>
                <w:rFonts w:ascii="Calibri" w:hAnsi="Calibri" w:cs="Arial Narrow"/>
                <w:bCs w:val="0"/>
                <w:spacing w:val="-5"/>
                <w:sz w:val="18"/>
                <w:szCs w:val="18"/>
              </w:rPr>
            </w:pPr>
            <w:r w:rsidRPr="00D51AA5">
              <w:rPr>
                <w:rFonts w:ascii="Calibri" w:hAnsi="Calibri" w:cs="Arial Narrow"/>
                <w:sz w:val="18"/>
                <w:szCs w:val="18"/>
              </w:rPr>
              <w:t>Di cui per estinzione anticipata di prestiti</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I) Entrate di parte capitale destinate a spese correnti in base a specifiche disposizioni di legge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D51AA5" w:rsidRDefault="00680947" w:rsidP="007C7A4A">
            <w:pPr>
              <w:pStyle w:val="Paragrafoelenco"/>
              <w:numPr>
                <w:ilvl w:val="0"/>
                <w:numId w:val="4"/>
              </w:numPr>
              <w:jc w:val="left"/>
              <w:rPr>
                <w:rFonts w:ascii="Calibri" w:hAnsi="Calibri" w:cs="Arial Narrow"/>
                <w:bCs w:val="0"/>
                <w:spacing w:val="-5"/>
                <w:sz w:val="18"/>
                <w:szCs w:val="18"/>
              </w:rPr>
            </w:pPr>
            <w:r w:rsidRPr="00D51AA5">
              <w:rPr>
                <w:rFonts w:ascii="Calibri" w:hAnsi="Calibri" w:cs="Arial Narrow"/>
                <w:sz w:val="18"/>
                <w:szCs w:val="18"/>
              </w:rPr>
              <w:t>Di cui per estinzione anticipata di prestiti</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L) Entrate di parte corrente destinate a spese di investimento in base a specifiche disposizioni di legge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M) Entrate da accensione di prestiti destinate a estinzione anticipata dei prestiti</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sz w:val="20"/>
                <w:szCs w:val="20"/>
              </w:rPr>
            </w:pPr>
            <w:r w:rsidRPr="00377769">
              <w:rPr>
                <w:rFonts w:ascii="Calibri" w:hAnsi="Calibri" w:cs="Arial Narrow"/>
                <w:sz w:val="20"/>
                <w:szCs w:val="20"/>
              </w:rPr>
              <w:t>EQUILIBRIO DI PARTE CORRENTE</w:t>
            </w:r>
          </w:p>
          <w:p w:rsidR="00680947" w:rsidRPr="00377769" w:rsidRDefault="00680947" w:rsidP="00F23AF8">
            <w:pPr>
              <w:jc w:val="right"/>
              <w:rPr>
                <w:rFonts w:ascii="Calibri" w:hAnsi="Calibri" w:cs="Arial Narrow"/>
                <w:b w:val="0"/>
                <w:bCs w:val="0"/>
                <w:spacing w:val="-5"/>
                <w:sz w:val="20"/>
                <w:szCs w:val="20"/>
              </w:rPr>
            </w:pPr>
            <w:r w:rsidRPr="00377769">
              <w:rPr>
                <w:rFonts w:ascii="Calibri" w:hAnsi="Calibri" w:cs="Arial Narrow"/>
                <w:sz w:val="20"/>
                <w:szCs w:val="20"/>
              </w:rPr>
              <w:t>O=G+H+I-L+M</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
                <w:bCs/>
                <w:spacing w:val="-5"/>
                <w:sz w:val="20"/>
                <w:szCs w:val="20"/>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
                <w:bCs/>
                <w:spacing w:val="-5"/>
                <w:sz w:val="20"/>
                <w:szCs w:val="20"/>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
                <w:spacing w:val="-5"/>
                <w:sz w:val="20"/>
                <w:szCs w:val="20"/>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P) Utilizzo avanzo di amministrazione per spese di investimento</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Q) Fondo pluriennale vincolato di entrata per spese in conto capitale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R) Entrate Titoli 4.00-5.00-600</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C) Entrate Titolo 4.02.06 - Contributi agli investimenti direttamente destinati al rimborso dei prestiti da amministrazioni pubbliche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bCs w:val="0"/>
                <w:sz w:val="18"/>
                <w:szCs w:val="18"/>
              </w:rPr>
              <w:t>I)</w:t>
            </w:r>
            <w:r w:rsidRPr="00377769">
              <w:rPr>
                <w:rFonts w:ascii="Calibri" w:hAnsi="Calibri" w:cs="Arial Narrow"/>
                <w:b w:val="0"/>
                <w:sz w:val="18"/>
                <w:szCs w:val="18"/>
              </w:rPr>
              <w:t xml:space="preserve"> Entrate di parte capitale destinate a spese correnti in base a specifiche disposizioni di legge</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bCs w:val="0"/>
                <w:sz w:val="18"/>
                <w:szCs w:val="18"/>
              </w:rPr>
              <w:t>S1) Entrate Titolo</w:t>
            </w:r>
            <w:r w:rsidR="003B554C">
              <w:rPr>
                <w:rFonts w:ascii="Calibri" w:hAnsi="Calibri" w:cs="Arial Narrow"/>
                <w:b w:val="0"/>
                <w:bCs w:val="0"/>
                <w:sz w:val="18"/>
                <w:szCs w:val="18"/>
              </w:rPr>
              <w:t xml:space="preserve"> 5.02 per Riscossion</w:t>
            </w:r>
            <w:r w:rsidRPr="00377769">
              <w:rPr>
                <w:rFonts w:ascii="Calibri" w:hAnsi="Calibri" w:cs="Arial Narrow"/>
                <w:b w:val="0"/>
                <w:bCs w:val="0"/>
                <w:sz w:val="18"/>
                <w:szCs w:val="18"/>
              </w:rPr>
              <w:t>i di crediti</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lastRenderedPageBreak/>
              <w:t>S2) Entrate Titolo 5.03 per Riscossione crediti di medio-lungo termine</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T) Entrate Titolo 5.04 relative a altre entrate per riduzioni di attività finanziaria</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L) Entrate di parte carente destinate a spese di investimento in base a specifiche disposizioni di legge</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U) Spese Titolo 2.00 - Spese in conto capitale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D51AA5" w:rsidRDefault="00680947" w:rsidP="007C7A4A">
            <w:pPr>
              <w:pStyle w:val="Paragrafoelenco"/>
              <w:numPr>
                <w:ilvl w:val="0"/>
                <w:numId w:val="4"/>
              </w:numPr>
              <w:jc w:val="left"/>
              <w:rPr>
                <w:rFonts w:ascii="Calibri" w:hAnsi="Calibri" w:cs="Arial Narrow"/>
                <w:bCs w:val="0"/>
                <w:spacing w:val="-5"/>
                <w:sz w:val="18"/>
                <w:szCs w:val="18"/>
              </w:rPr>
            </w:pPr>
            <w:r w:rsidRPr="00D51AA5">
              <w:rPr>
                <w:rFonts w:ascii="Calibri" w:hAnsi="Calibri" w:cs="Arial"/>
                <w:color w:val="080B0B"/>
                <w:spacing w:val="-4"/>
                <w:sz w:val="18"/>
                <w:szCs w:val="18"/>
              </w:rPr>
              <w:t>Di cui fondo pluriennale vincolato</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w:b w:val="0"/>
                <w:color w:val="080B0B"/>
                <w:spacing w:val="-4"/>
                <w:sz w:val="18"/>
                <w:szCs w:val="18"/>
              </w:rPr>
              <w:t>V) Spese Titolo 3.01 per Acquisizioni di attività finanziarie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w:b w:val="0"/>
                <w:color w:val="080B0B"/>
                <w:spacing w:val="-4"/>
                <w:sz w:val="18"/>
                <w:szCs w:val="18"/>
              </w:rPr>
              <w:t>E) Spese Titolo 2.04 - Trasferimenti in cento capitale</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w:color w:val="080B0B"/>
                <w:spacing w:val="-4"/>
                <w:sz w:val="20"/>
                <w:szCs w:val="20"/>
              </w:rPr>
            </w:pPr>
            <w:r w:rsidRPr="00377769">
              <w:rPr>
                <w:rFonts w:ascii="Calibri" w:hAnsi="Calibri" w:cs="Arial"/>
                <w:color w:val="080B0B"/>
                <w:spacing w:val="-4"/>
                <w:sz w:val="20"/>
                <w:szCs w:val="20"/>
              </w:rPr>
              <w:t>EQUIL</w:t>
            </w:r>
            <w:r w:rsidR="00FE2273">
              <w:rPr>
                <w:rFonts w:ascii="Calibri" w:hAnsi="Calibri" w:cs="Arial"/>
                <w:color w:val="080B0B"/>
                <w:spacing w:val="-4"/>
                <w:sz w:val="20"/>
                <w:szCs w:val="20"/>
              </w:rPr>
              <w:t>I</w:t>
            </w:r>
            <w:r w:rsidRPr="00377769">
              <w:rPr>
                <w:rFonts w:ascii="Calibri" w:hAnsi="Calibri" w:cs="Arial"/>
                <w:color w:val="080B0B"/>
                <w:spacing w:val="-4"/>
                <w:sz w:val="20"/>
                <w:szCs w:val="20"/>
              </w:rPr>
              <w:t>BRIO DI PARTE CAPITALE</w:t>
            </w:r>
          </w:p>
          <w:p w:rsidR="00680947" w:rsidRPr="00377769" w:rsidRDefault="00680947" w:rsidP="00F23AF8">
            <w:pPr>
              <w:jc w:val="right"/>
              <w:rPr>
                <w:rFonts w:ascii="Calibri" w:hAnsi="Calibri" w:cs="Arial Narrow"/>
                <w:b w:val="0"/>
                <w:bCs w:val="0"/>
                <w:spacing w:val="-5"/>
                <w:sz w:val="20"/>
                <w:szCs w:val="20"/>
              </w:rPr>
            </w:pPr>
            <w:r w:rsidRPr="00377769">
              <w:rPr>
                <w:rFonts w:ascii="Calibri" w:hAnsi="Calibri" w:cs="Arial"/>
                <w:color w:val="080B0B"/>
                <w:sz w:val="20"/>
                <w:szCs w:val="20"/>
              </w:rPr>
              <w:t>Z= P+Q+R-C-I-S1-S2-T+L-U-V+E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
                <w:bCs/>
                <w:spacing w:val="-5"/>
                <w:sz w:val="20"/>
                <w:szCs w:val="20"/>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
                <w:bCs/>
                <w:spacing w:val="-5"/>
                <w:sz w:val="20"/>
                <w:szCs w:val="20"/>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
                <w:spacing w:val="-5"/>
                <w:sz w:val="20"/>
                <w:szCs w:val="20"/>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w:b w:val="0"/>
                <w:color w:val="080B0B"/>
                <w:spacing w:val="-4"/>
                <w:sz w:val="18"/>
                <w:szCs w:val="18"/>
              </w:rPr>
              <w:t>S1) Entrate Titolo 5.02 per Riscossione cediti di breve temine</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w:b w:val="0"/>
                <w:color w:val="080B0B"/>
                <w:spacing w:val="-4"/>
                <w:sz w:val="18"/>
                <w:szCs w:val="18"/>
              </w:rPr>
              <w:t>S2) Entrate Titolo 5.03 per Riscossione crediti di medio-lungo termine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w:b w:val="0"/>
                <w:color w:val="080B0B"/>
                <w:spacing w:val="-4"/>
                <w:sz w:val="18"/>
                <w:szCs w:val="18"/>
              </w:rPr>
              <w:t>T) Entrate Titolo 5.03 relative a Altre entrate per riduzioni di attività finanziaria</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w:b w:val="0"/>
                <w:color w:val="080B0B"/>
                <w:spacing w:val="-4"/>
                <w:sz w:val="18"/>
                <w:szCs w:val="18"/>
              </w:rPr>
              <w:t>X1) Spese Titolo 3.02 per Concessione cediti di breve termine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w:b w:val="0"/>
                <w:color w:val="080B0B"/>
                <w:spacing w:val="-4"/>
                <w:sz w:val="18"/>
                <w:szCs w:val="18"/>
              </w:rPr>
              <w:t>X2) Spese Titolo 3.03 per Concessione crediti di medio-lungo termine</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w:b w:val="0"/>
                <w:color w:val="080B0B"/>
                <w:spacing w:val="-4"/>
                <w:sz w:val="18"/>
                <w:szCs w:val="18"/>
              </w:rPr>
              <w:t>Y) Spese Titolo 3.03 per Alt</w:t>
            </w:r>
            <w:r>
              <w:rPr>
                <w:rFonts w:ascii="Calibri" w:hAnsi="Calibri" w:cs="Arial"/>
                <w:b w:val="0"/>
                <w:color w:val="080B0B"/>
                <w:spacing w:val="-4"/>
                <w:sz w:val="18"/>
                <w:szCs w:val="18"/>
              </w:rPr>
              <w:t>r</w:t>
            </w:r>
            <w:r w:rsidRPr="00377769">
              <w:rPr>
                <w:rFonts w:ascii="Calibri" w:hAnsi="Calibri" w:cs="Arial"/>
                <w:b w:val="0"/>
                <w:color w:val="080B0B"/>
                <w:spacing w:val="-4"/>
                <w:sz w:val="18"/>
                <w:szCs w:val="18"/>
              </w:rPr>
              <w:t>e spese per acquisizioni di attività finanziarie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w:sz w:val="20"/>
                <w:szCs w:val="20"/>
              </w:rPr>
            </w:pPr>
            <w:r w:rsidRPr="00377769">
              <w:rPr>
                <w:rFonts w:ascii="Calibri" w:hAnsi="Calibri" w:cs="Arial"/>
                <w:sz w:val="20"/>
                <w:szCs w:val="20"/>
              </w:rPr>
              <w:t>EQUIL</w:t>
            </w:r>
            <w:r w:rsidR="008C6564">
              <w:rPr>
                <w:rFonts w:ascii="Calibri" w:hAnsi="Calibri" w:cs="Arial"/>
                <w:sz w:val="20"/>
                <w:szCs w:val="20"/>
              </w:rPr>
              <w:t>I</w:t>
            </w:r>
            <w:r w:rsidRPr="00377769">
              <w:rPr>
                <w:rFonts w:ascii="Calibri" w:hAnsi="Calibri" w:cs="Arial"/>
                <w:sz w:val="20"/>
                <w:szCs w:val="20"/>
              </w:rPr>
              <w:t>BRIO FINALE</w:t>
            </w:r>
          </w:p>
          <w:p w:rsidR="00680947" w:rsidRPr="00377769" w:rsidRDefault="00680947" w:rsidP="00F23AF8">
            <w:pPr>
              <w:jc w:val="right"/>
              <w:rPr>
                <w:rFonts w:ascii="Calibri" w:hAnsi="Calibri" w:cs="Arial Narrow"/>
                <w:bCs w:val="0"/>
                <w:spacing w:val="-5"/>
                <w:sz w:val="20"/>
                <w:szCs w:val="20"/>
              </w:rPr>
            </w:pPr>
            <w:r w:rsidRPr="00377769">
              <w:rPr>
                <w:rFonts w:ascii="Calibri" w:hAnsi="Calibri" w:cs="Arial"/>
                <w:sz w:val="20"/>
                <w:szCs w:val="20"/>
              </w:rPr>
              <w:t>W = O+Z+S1+S2+T-X1-X2-Y</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20"/>
                <w:szCs w:val="20"/>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20"/>
                <w:szCs w:val="20"/>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20"/>
                <w:szCs w:val="20"/>
              </w:rPr>
            </w:pPr>
            <w:r>
              <w:rPr>
                <w:sz w:val="18"/>
                <w:szCs w:val="18"/>
              </w:rPr>
              <w:t>0,00</w:t>
            </w:r>
          </w:p>
        </w:tc>
      </w:tr>
    </w:tbl>
    <w:p w:rsidR="006C4DE7" w:rsidRDefault="006C4DE7" w:rsidP="006C4DE7"/>
    <w:p w:rsidR="00887329" w:rsidRDefault="00887329" w:rsidP="006C4DE7"/>
    <w:p w:rsidR="00D159CB" w:rsidRDefault="00D159CB" w:rsidP="006C4DE7">
      <w:pPr>
        <w:sectPr w:rsidR="00D159CB" w:rsidSect="00A3734B">
          <w:footerReference w:type="default" r:id="rId61"/>
          <w:pgSz w:w="11906" w:h="16838"/>
          <w:pgMar w:top="1418" w:right="1134" w:bottom="1134" w:left="1134" w:header="709" w:footer="709" w:gutter="0"/>
          <w:cols w:space="708"/>
          <w:docGrid w:linePitch="360"/>
        </w:sectPr>
      </w:pPr>
    </w:p>
    <w:p w:rsidR="00CD4C1D" w:rsidRDefault="00CD4C1D" w:rsidP="00BC4D1D">
      <w:pPr>
        <w:pStyle w:val="Titolo3"/>
        <w:numPr>
          <w:ilvl w:val="0"/>
          <w:numId w:val="0"/>
        </w:numPr>
        <w:rPr>
          <w:noProof/>
        </w:rPr>
      </w:pPr>
    </w:p>
    <w:p w:rsidR="0023681C" w:rsidRDefault="0023681C" w:rsidP="0023681C"/>
    <w:p w:rsidR="0023681C" w:rsidRDefault="0023681C" w:rsidP="0023681C"/>
    <w:p w:rsidR="00F34FB3" w:rsidRDefault="00BB3FE2" w:rsidP="00EA4BE0">
      <w:pPr>
        <w:pStyle w:val="Titolo2"/>
      </w:pPr>
      <w:bookmarkStart w:id="23" w:name="_Toc496177152"/>
      <w:r>
        <w:t>Parte Seconda</w:t>
      </w:r>
      <w:bookmarkEnd w:id="23"/>
    </w:p>
    <w:p w:rsidR="004037B8" w:rsidRPr="004037B8" w:rsidRDefault="004037B8" w:rsidP="004037B8"/>
    <w:p w:rsidR="004037B8" w:rsidRDefault="004037B8" w:rsidP="004037B8">
      <w:pPr>
        <w:sectPr w:rsidR="004037B8" w:rsidSect="00EA4BE0">
          <w:footerReference w:type="default" r:id="rId62"/>
          <w:pgSz w:w="11906" w:h="16838"/>
          <w:pgMar w:top="1418" w:right="1134" w:bottom="1134" w:left="1134" w:header="709" w:footer="709" w:gutter="0"/>
          <w:cols w:space="708"/>
          <w:vAlign w:val="center"/>
          <w:docGrid w:linePitch="360"/>
        </w:sectPr>
      </w:pPr>
    </w:p>
    <w:p w:rsidR="00C6509C" w:rsidRDefault="00C6509C" w:rsidP="00F2456F">
      <w:pPr>
        <w:pStyle w:val="Titolo3"/>
      </w:pPr>
      <w:r>
        <w:lastRenderedPageBreak/>
        <w:t xml:space="preserve"> </w:t>
      </w:r>
      <w:bookmarkStart w:id="24" w:name="_Toc496177153"/>
      <w:r w:rsidR="00F2456F" w:rsidRPr="009F6BC4">
        <w:t xml:space="preserve">Programmazione del fabbisogno di personale per il triennio </w:t>
      </w:r>
      <w:r>
        <w:t>2018/2020</w:t>
      </w:r>
      <w:bookmarkEnd w:id="24"/>
    </w:p>
    <w:p w:rsidR="00C6509C" w:rsidRDefault="00C6509C" w:rsidP="00C6509C"/>
    <w:p w:rsidR="00BC4D1D" w:rsidRPr="00C739BE" w:rsidRDefault="00BC4D1D" w:rsidP="00BC4D1D">
      <w:pPr>
        <w:spacing w:line="360" w:lineRule="auto"/>
      </w:pPr>
      <w:r w:rsidRPr="00C739BE">
        <w:t>E’ già stato affermato come il personale costituisca la principale risorsa di Ente sia per quanto riguarda lo svolgimento delle attività routinarie, sia per la realizzazione di qualunque strategia. Ai sensi dell’articolo 91 del Tuel, gli organi di vertice delle amministrazioni locali sono tenuti alla programmazione triennale del fabbisogno di personale, obbligo non modificato dalla riforma contabile dell’armonizzazione. L’art. 3, comma 5-bis, D.L. n. 90/2014, convertito dalla L. n. 114/2014, ha introdotto il comma 557-quater alla L. n. 296/2006 che dispone che: “</w:t>
      </w:r>
      <w:r w:rsidRPr="00C739BE">
        <w:rPr>
          <w:i/>
        </w:rPr>
        <w:t>A decorrere dall'anno 2014 gli enti assicurano, nell'ambito della programmazione triennale dei fabbisogni di personale, il contenimento delle spese di personale con riferimento al valore medio del triennio precedente alla data di entrata in vigore della presente disposizione</w:t>
      </w:r>
      <w:r w:rsidRPr="00C739BE">
        <w:t>”.</w:t>
      </w:r>
    </w:p>
    <w:p w:rsidR="00BC4D1D" w:rsidRPr="00C739BE" w:rsidRDefault="00BC4D1D" w:rsidP="00BC4D1D">
      <w:pPr>
        <w:spacing w:line="360" w:lineRule="auto"/>
      </w:pPr>
      <w:r w:rsidRPr="00BC4D1D">
        <w:rPr>
          <w:highlight w:val="yellow"/>
        </w:rPr>
        <w:t>Il CdA del Consorzio con proprio atto n. 47 del 22/12/2015 ha approvato l’organigramma, la dotazione</w:t>
      </w:r>
      <w:r w:rsidRPr="00C739BE">
        <w:t xml:space="preserve"> organica e il fabbisogno triennale del personale prevedendo in particolare la conferma dell’attuale dotazione organica non prevedendo nessun assunzione a tempo indeterminato.</w:t>
      </w:r>
    </w:p>
    <w:p w:rsidR="00BC4D1D" w:rsidRPr="00C739BE" w:rsidRDefault="00BC4D1D" w:rsidP="00BC4D1D">
      <w:pPr>
        <w:spacing w:line="360" w:lineRule="auto"/>
      </w:pPr>
      <w:r w:rsidRPr="00C739BE">
        <w:t>Potranno essere previste solo assunzioni temporanee o collaborazioni temporanee in ragione a particolari esigenze di servizio. Sono previsti altresì attività di stage.</w:t>
      </w:r>
    </w:p>
    <w:p w:rsidR="00BC4D1D" w:rsidRDefault="00BC4D1D" w:rsidP="00C6509C"/>
    <w:p w:rsidR="00BC4D1D" w:rsidRDefault="00BC4D1D" w:rsidP="00E21727">
      <w:pPr>
        <w:spacing w:line="360" w:lineRule="auto"/>
      </w:pPr>
    </w:p>
    <w:p w:rsidR="00BC4D1D" w:rsidRDefault="00BC4D1D" w:rsidP="00E21727">
      <w:pPr>
        <w:spacing w:line="360" w:lineRule="auto"/>
      </w:pPr>
    </w:p>
    <w:p w:rsidR="00BC4D1D" w:rsidRDefault="00BC4D1D" w:rsidP="00E21727">
      <w:pPr>
        <w:spacing w:line="360" w:lineRule="auto"/>
      </w:pPr>
    </w:p>
    <w:p w:rsidR="00BC4D1D" w:rsidRDefault="00BC4D1D" w:rsidP="00E21727">
      <w:pPr>
        <w:spacing w:line="360" w:lineRule="auto"/>
      </w:pPr>
    </w:p>
    <w:p w:rsidR="00BC4D1D" w:rsidRDefault="00BC4D1D" w:rsidP="00E21727">
      <w:pPr>
        <w:spacing w:line="360" w:lineRule="auto"/>
      </w:pPr>
    </w:p>
    <w:p w:rsidR="004037B8" w:rsidRPr="003649CA" w:rsidRDefault="00C6509C" w:rsidP="00C6509C">
      <w:pPr>
        <w:pStyle w:val="Titolo3"/>
      </w:pPr>
      <w:bookmarkStart w:id="25" w:name="_Toc496177154"/>
      <w:r w:rsidRPr="00B46501">
        <w:lastRenderedPageBreak/>
        <w:t>Programma triennale delle opere pubbliche</w:t>
      </w:r>
      <w:bookmarkEnd w:id="25"/>
    </w:p>
    <w:p w:rsidR="000977C2" w:rsidRDefault="000977C2" w:rsidP="000977C2"/>
    <w:p w:rsidR="00BC4D1D" w:rsidRPr="00C739BE" w:rsidRDefault="00BC4D1D" w:rsidP="00BC4D1D">
      <w:pPr>
        <w:spacing w:line="360" w:lineRule="auto"/>
      </w:pPr>
      <w:r w:rsidRPr="00C739BE">
        <w:t>L'art. 58 del D.L. 25 giugno 2008, n.112, così come convertito dalla Legge 6 agosto 2008, n. 133, stabilisce che per procedere al riordino, gestione e valorizzazione del patrimonio immobiliare, gli enti locali individuano, redigendo apposito elenco sulla base e nei limiti della documentazione esistente presso i propri archivi e uffici, i singoli beni immobili ricadenti nel territorio di competenza, non strumentali all'esercizio delle proprie funzioni istituzionali, suscettibili di valorizzazione ovvero di dismissione. E’ bene non dimenticare che la dismissione di un bene patrimoniale può costituire una importante fonte finanziaria da utilizzare proprio per il perseguimento di finalità di lungo respiro:</w:t>
      </w:r>
    </w:p>
    <w:tbl>
      <w:tblPr>
        <w:tblStyle w:val="Grigliachiara-Colore51"/>
        <w:tblW w:w="5000" w:type="auto"/>
        <w:tblLook w:val="04A0" w:firstRow="1" w:lastRow="0" w:firstColumn="1" w:lastColumn="0" w:noHBand="0" w:noVBand="1"/>
      </w:tblPr>
      <w:tblGrid>
        <w:gridCol w:w="2099"/>
        <w:gridCol w:w="2110"/>
        <w:gridCol w:w="2092"/>
        <w:gridCol w:w="2087"/>
        <w:gridCol w:w="2038"/>
        <w:gridCol w:w="2038"/>
        <w:gridCol w:w="2038"/>
      </w:tblGrid>
      <w:tr w:rsidR="00BC4D1D" w:rsidRPr="00C739BE" w:rsidTr="00BF36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vMerge w:val="restart"/>
            <w:vAlign w:val="center"/>
          </w:tcPr>
          <w:p w:rsidR="00BC4D1D" w:rsidRPr="00C739BE" w:rsidRDefault="00BC4D1D" w:rsidP="00BF363E">
            <w:pPr>
              <w:jc w:val="center"/>
            </w:pPr>
            <w:r w:rsidRPr="00C739BE">
              <w:rPr>
                <w:rFonts w:ascii="Calibri" w:hAnsi="Calibri" w:cs="Calibri"/>
                <w:i/>
                <w:sz w:val="18"/>
                <w:szCs w:val="18"/>
              </w:rPr>
              <w:t>Rif. Intervento</w:t>
            </w:r>
          </w:p>
        </w:tc>
        <w:tc>
          <w:tcPr>
            <w:tcW w:w="2310" w:type="dxa"/>
            <w:vMerge w:val="restart"/>
            <w:vAlign w:val="center"/>
          </w:tcPr>
          <w:p w:rsidR="00BC4D1D" w:rsidRPr="00C739BE" w:rsidRDefault="00BC4D1D" w:rsidP="00BF363E">
            <w:pPr>
              <w:jc w:val="center"/>
              <w:cnfStyle w:val="100000000000" w:firstRow="1" w:lastRow="0" w:firstColumn="0" w:lastColumn="0" w:oddVBand="0" w:evenVBand="0" w:oddHBand="0" w:evenHBand="0" w:firstRowFirstColumn="0" w:firstRowLastColumn="0" w:lastRowFirstColumn="0" w:lastRowLastColumn="0"/>
            </w:pPr>
            <w:r w:rsidRPr="00C739BE">
              <w:rPr>
                <w:rFonts w:ascii="Calibri" w:hAnsi="Calibri" w:cs="Calibri"/>
                <w:i/>
                <w:sz w:val="18"/>
                <w:szCs w:val="18"/>
              </w:rPr>
              <w:t>Descrizione Immobile</w:t>
            </w:r>
          </w:p>
        </w:tc>
        <w:tc>
          <w:tcPr>
            <w:tcW w:w="2310" w:type="dxa"/>
            <w:vMerge w:val="restart"/>
            <w:vAlign w:val="center"/>
          </w:tcPr>
          <w:p w:rsidR="00BC4D1D" w:rsidRPr="00C739BE" w:rsidRDefault="00BC4D1D" w:rsidP="00BF363E">
            <w:pPr>
              <w:jc w:val="center"/>
              <w:cnfStyle w:val="100000000000" w:firstRow="1" w:lastRow="0" w:firstColumn="0" w:lastColumn="0" w:oddVBand="0" w:evenVBand="0" w:oddHBand="0" w:evenHBand="0" w:firstRowFirstColumn="0" w:firstRowLastColumn="0" w:lastRowFirstColumn="0" w:lastRowLastColumn="0"/>
            </w:pPr>
            <w:r w:rsidRPr="00C739BE">
              <w:rPr>
                <w:rFonts w:ascii="Calibri" w:hAnsi="Calibri" w:cs="Calibri"/>
                <w:i/>
                <w:sz w:val="18"/>
                <w:szCs w:val="18"/>
              </w:rPr>
              <w:t>Solo Diritto di Superficie</w:t>
            </w:r>
          </w:p>
        </w:tc>
        <w:tc>
          <w:tcPr>
            <w:tcW w:w="2310" w:type="dxa"/>
            <w:vMerge w:val="restart"/>
            <w:vAlign w:val="center"/>
          </w:tcPr>
          <w:p w:rsidR="00BC4D1D" w:rsidRPr="00C739BE" w:rsidRDefault="00BC4D1D" w:rsidP="00BF363E">
            <w:pPr>
              <w:jc w:val="center"/>
              <w:cnfStyle w:val="100000000000" w:firstRow="1" w:lastRow="0" w:firstColumn="0" w:lastColumn="0" w:oddVBand="0" w:evenVBand="0" w:oddHBand="0" w:evenHBand="0" w:firstRowFirstColumn="0" w:firstRowLastColumn="0" w:lastRowFirstColumn="0" w:lastRowLastColumn="0"/>
            </w:pPr>
            <w:r w:rsidRPr="00C739BE">
              <w:rPr>
                <w:rFonts w:ascii="Calibri" w:hAnsi="Calibri" w:cs="Calibri"/>
                <w:i/>
                <w:sz w:val="18"/>
                <w:szCs w:val="18"/>
              </w:rPr>
              <w:t>Piena Proprietà</w:t>
            </w:r>
          </w:p>
        </w:tc>
        <w:tc>
          <w:tcPr>
            <w:tcW w:w="2310" w:type="dxa"/>
            <w:gridSpan w:val="3"/>
            <w:vAlign w:val="center"/>
          </w:tcPr>
          <w:p w:rsidR="00BC4D1D" w:rsidRPr="00C739BE" w:rsidRDefault="00BC4D1D" w:rsidP="00BF363E">
            <w:pPr>
              <w:jc w:val="center"/>
              <w:cnfStyle w:val="100000000000" w:firstRow="1" w:lastRow="0" w:firstColumn="0" w:lastColumn="0" w:oddVBand="0" w:evenVBand="0" w:oddHBand="0" w:evenHBand="0" w:firstRowFirstColumn="0" w:firstRowLastColumn="0" w:lastRowFirstColumn="0" w:lastRowLastColumn="0"/>
            </w:pPr>
            <w:r w:rsidRPr="00C739BE">
              <w:rPr>
                <w:rFonts w:ascii="Calibri" w:hAnsi="Calibri" w:cs="Calibri"/>
                <w:i/>
                <w:sz w:val="18"/>
                <w:szCs w:val="18"/>
              </w:rPr>
              <w:t>Valore Stimato</w:t>
            </w:r>
          </w:p>
        </w:tc>
      </w:tr>
      <w:tr w:rsidR="00BC4D1D" w:rsidRPr="00C739BE" w:rsidTr="00BF36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vMerge/>
            <w:vAlign w:val="center"/>
          </w:tcPr>
          <w:p w:rsidR="00BC4D1D" w:rsidRPr="00C739BE" w:rsidRDefault="00BC4D1D" w:rsidP="00BF363E"/>
        </w:tc>
        <w:tc>
          <w:tcPr>
            <w:tcW w:w="2310" w:type="dxa"/>
            <w:vMerge/>
            <w:vAlign w:val="center"/>
          </w:tcPr>
          <w:p w:rsidR="00BC4D1D" w:rsidRPr="00C739BE" w:rsidRDefault="00BC4D1D" w:rsidP="00BF363E">
            <w:pPr>
              <w:cnfStyle w:val="000000100000" w:firstRow="0" w:lastRow="0" w:firstColumn="0" w:lastColumn="0" w:oddVBand="0" w:evenVBand="0" w:oddHBand="1" w:evenHBand="0" w:firstRowFirstColumn="0" w:firstRowLastColumn="0" w:lastRowFirstColumn="0" w:lastRowLastColumn="0"/>
            </w:pPr>
          </w:p>
        </w:tc>
        <w:tc>
          <w:tcPr>
            <w:tcW w:w="2310" w:type="dxa"/>
            <w:vMerge/>
            <w:vAlign w:val="center"/>
          </w:tcPr>
          <w:p w:rsidR="00BC4D1D" w:rsidRPr="00C739BE" w:rsidRDefault="00BC4D1D" w:rsidP="00BF363E">
            <w:pPr>
              <w:cnfStyle w:val="000000100000" w:firstRow="0" w:lastRow="0" w:firstColumn="0" w:lastColumn="0" w:oddVBand="0" w:evenVBand="0" w:oddHBand="1" w:evenHBand="0" w:firstRowFirstColumn="0" w:firstRowLastColumn="0" w:lastRowFirstColumn="0" w:lastRowLastColumn="0"/>
            </w:pPr>
          </w:p>
        </w:tc>
        <w:tc>
          <w:tcPr>
            <w:tcW w:w="2310" w:type="dxa"/>
            <w:vMerge/>
            <w:vAlign w:val="center"/>
          </w:tcPr>
          <w:p w:rsidR="00BC4D1D" w:rsidRPr="00C739BE" w:rsidRDefault="00BC4D1D" w:rsidP="00BF363E">
            <w:pPr>
              <w:cnfStyle w:val="000000100000" w:firstRow="0" w:lastRow="0" w:firstColumn="0" w:lastColumn="0" w:oddVBand="0" w:evenVBand="0" w:oddHBand="1" w:evenHBand="0" w:firstRowFirstColumn="0" w:firstRowLastColumn="0" w:lastRowFirstColumn="0" w:lastRowLastColumn="0"/>
            </w:pPr>
          </w:p>
        </w:tc>
        <w:tc>
          <w:tcPr>
            <w:tcW w:w="2310" w:type="dxa"/>
            <w:shd w:val="clear" w:color="auto" w:fill="FFFFFF"/>
            <w:vAlign w:val="center"/>
          </w:tcPr>
          <w:p w:rsidR="00BC4D1D" w:rsidRPr="00C739BE" w:rsidRDefault="00BC4D1D" w:rsidP="00BF363E">
            <w:pPr>
              <w:jc w:val="center"/>
              <w:cnfStyle w:val="000000100000" w:firstRow="0" w:lastRow="0" w:firstColumn="0" w:lastColumn="0" w:oddVBand="0" w:evenVBand="0" w:oddHBand="1" w:evenHBand="0" w:firstRowFirstColumn="0" w:firstRowLastColumn="0" w:lastRowFirstColumn="0" w:lastRowLastColumn="0"/>
            </w:pPr>
            <w:r w:rsidRPr="00C739BE">
              <w:rPr>
                <w:rFonts w:ascii="Calibri" w:hAnsi="Calibri" w:cs="Calibri"/>
                <w:b/>
                <w:i/>
                <w:sz w:val="18"/>
                <w:szCs w:val="18"/>
              </w:rPr>
              <w:t>1° Anno</w:t>
            </w:r>
          </w:p>
        </w:tc>
        <w:tc>
          <w:tcPr>
            <w:tcW w:w="2310" w:type="dxa"/>
            <w:shd w:val="clear" w:color="auto" w:fill="FFFFFF"/>
            <w:vAlign w:val="center"/>
          </w:tcPr>
          <w:p w:rsidR="00BC4D1D" w:rsidRPr="00C739BE" w:rsidRDefault="00BC4D1D" w:rsidP="00BF363E">
            <w:pPr>
              <w:jc w:val="center"/>
              <w:cnfStyle w:val="000000100000" w:firstRow="0" w:lastRow="0" w:firstColumn="0" w:lastColumn="0" w:oddVBand="0" w:evenVBand="0" w:oddHBand="1" w:evenHBand="0" w:firstRowFirstColumn="0" w:firstRowLastColumn="0" w:lastRowFirstColumn="0" w:lastRowLastColumn="0"/>
            </w:pPr>
            <w:r w:rsidRPr="00C739BE">
              <w:rPr>
                <w:rFonts w:ascii="Calibri" w:hAnsi="Calibri" w:cs="Calibri"/>
                <w:b/>
                <w:i/>
                <w:sz w:val="18"/>
                <w:szCs w:val="18"/>
              </w:rPr>
              <w:t>2° Anno</w:t>
            </w:r>
          </w:p>
        </w:tc>
        <w:tc>
          <w:tcPr>
            <w:tcW w:w="2310" w:type="dxa"/>
            <w:shd w:val="clear" w:color="auto" w:fill="FFFFFF"/>
            <w:vAlign w:val="center"/>
          </w:tcPr>
          <w:p w:rsidR="00BC4D1D" w:rsidRPr="00C739BE" w:rsidRDefault="00BC4D1D" w:rsidP="00BF363E">
            <w:pPr>
              <w:jc w:val="center"/>
              <w:cnfStyle w:val="000000100000" w:firstRow="0" w:lastRow="0" w:firstColumn="0" w:lastColumn="0" w:oddVBand="0" w:evenVBand="0" w:oddHBand="1" w:evenHBand="0" w:firstRowFirstColumn="0" w:firstRowLastColumn="0" w:lastRowFirstColumn="0" w:lastRowLastColumn="0"/>
            </w:pPr>
            <w:r w:rsidRPr="00C739BE">
              <w:rPr>
                <w:rFonts w:ascii="Calibri" w:hAnsi="Calibri" w:cs="Calibri"/>
                <w:b/>
                <w:i/>
                <w:sz w:val="18"/>
                <w:szCs w:val="18"/>
              </w:rPr>
              <w:t>3° Anno</w:t>
            </w:r>
          </w:p>
        </w:tc>
      </w:tr>
      <w:tr w:rsidR="00BC4D1D" w:rsidRPr="00C739BE" w:rsidTr="00BF36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tcBorders>
              <w:left w:val="single" w:sz="2" w:space="0" w:color="FFFFFF"/>
              <w:bottom w:val="single" w:sz="2" w:space="0" w:color="FFFFFF"/>
              <w:right w:val="single" w:sz="2" w:space="0" w:color="FFFFFF"/>
            </w:tcBorders>
            <w:shd w:val="clear" w:color="auto" w:fill="FFFFFF"/>
            <w:vAlign w:val="center"/>
          </w:tcPr>
          <w:p w:rsidR="00BC4D1D" w:rsidRPr="00C739BE" w:rsidRDefault="00BC4D1D" w:rsidP="00BF363E"/>
        </w:tc>
        <w:tc>
          <w:tcPr>
            <w:tcW w:w="2310" w:type="dxa"/>
            <w:tcBorders>
              <w:left w:val="single" w:sz="2" w:space="0" w:color="FFFFFF"/>
              <w:bottom w:val="single" w:sz="2" w:space="0" w:color="FFFFFF"/>
              <w:right w:val="single" w:sz="2" w:space="0" w:color="FFFFFF"/>
            </w:tcBorders>
            <w:shd w:val="clear" w:color="auto" w:fill="FFFFFF"/>
            <w:vAlign w:val="center"/>
          </w:tcPr>
          <w:p w:rsidR="00BC4D1D" w:rsidRPr="00C739BE" w:rsidRDefault="00BC4D1D" w:rsidP="00BF363E">
            <w:pPr>
              <w:cnfStyle w:val="000000010000" w:firstRow="0" w:lastRow="0" w:firstColumn="0" w:lastColumn="0" w:oddVBand="0" w:evenVBand="0" w:oddHBand="0" w:evenHBand="1" w:firstRowFirstColumn="0" w:firstRowLastColumn="0" w:lastRowFirstColumn="0" w:lastRowLastColumn="0"/>
            </w:pPr>
          </w:p>
        </w:tc>
        <w:tc>
          <w:tcPr>
            <w:tcW w:w="2310" w:type="dxa"/>
            <w:tcBorders>
              <w:left w:val="single" w:sz="2" w:space="0" w:color="FFFFFF"/>
              <w:bottom w:val="single" w:sz="2" w:space="0" w:color="FFFFFF"/>
              <w:right w:val="single" w:sz="2" w:space="0" w:color="FFFFFF"/>
            </w:tcBorders>
            <w:shd w:val="clear" w:color="auto" w:fill="FFFFFF"/>
            <w:vAlign w:val="center"/>
          </w:tcPr>
          <w:p w:rsidR="00BC4D1D" w:rsidRPr="00C739BE" w:rsidRDefault="00BC4D1D" w:rsidP="00BF363E">
            <w:pPr>
              <w:cnfStyle w:val="000000010000" w:firstRow="0" w:lastRow="0" w:firstColumn="0" w:lastColumn="0" w:oddVBand="0" w:evenVBand="0" w:oddHBand="0" w:evenHBand="1" w:firstRowFirstColumn="0" w:firstRowLastColumn="0" w:lastRowFirstColumn="0" w:lastRowLastColumn="0"/>
            </w:pPr>
          </w:p>
        </w:tc>
        <w:tc>
          <w:tcPr>
            <w:tcW w:w="2310" w:type="dxa"/>
            <w:tcBorders>
              <w:left w:val="single" w:sz="2" w:space="0" w:color="FFFFFF"/>
              <w:bottom w:val="single" w:sz="2" w:space="0" w:color="FFFFFF"/>
              <w:right w:val="single" w:sz="2" w:space="0" w:color="FFFFFF"/>
            </w:tcBorders>
            <w:shd w:val="clear" w:color="auto" w:fill="FFFFFF"/>
            <w:vAlign w:val="center"/>
          </w:tcPr>
          <w:p w:rsidR="00BC4D1D" w:rsidRPr="00C739BE" w:rsidRDefault="00BC4D1D" w:rsidP="00BF363E">
            <w:pPr>
              <w:jc w:val="right"/>
              <w:cnfStyle w:val="000000010000" w:firstRow="0" w:lastRow="0" w:firstColumn="0" w:lastColumn="0" w:oddVBand="0" w:evenVBand="0" w:oddHBand="0" w:evenHBand="1" w:firstRowFirstColumn="0" w:firstRowLastColumn="0" w:lastRowFirstColumn="0" w:lastRowLastColumn="0"/>
            </w:pPr>
            <w:r w:rsidRPr="00C739BE">
              <w:rPr>
                <w:rFonts w:ascii="Calibri" w:hAnsi="Calibri" w:cs="Calibri"/>
                <w:b/>
                <w:sz w:val="18"/>
                <w:szCs w:val="18"/>
              </w:rPr>
              <w:t>TOTALE</w:t>
            </w:r>
          </w:p>
        </w:tc>
        <w:tc>
          <w:tcPr>
            <w:tcW w:w="2310" w:type="dxa"/>
            <w:shd w:val="clear" w:color="auto" w:fill="FFFFFF"/>
            <w:vAlign w:val="center"/>
          </w:tcPr>
          <w:p w:rsidR="00BC4D1D" w:rsidRPr="00C739BE" w:rsidRDefault="00BC4D1D" w:rsidP="00BF363E">
            <w:pPr>
              <w:jc w:val="right"/>
              <w:cnfStyle w:val="000000010000" w:firstRow="0" w:lastRow="0" w:firstColumn="0" w:lastColumn="0" w:oddVBand="0" w:evenVBand="0" w:oddHBand="0" w:evenHBand="1" w:firstRowFirstColumn="0" w:firstRowLastColumn="0" w:lastRowFirstColumn="0" w:lastRowLastColumn="0"/>
            </w:pPr>
            <w:r w:rsidRPr="00C739BE">
              <w:rPr>
                <w:b/>
                <w:sz w:val="18"/>
                <w:szCs w:val="18"/>
              </w:rPr>
              <w:t>0,00</w:t>
            </w:r>
          </w:p>
        </w:tc>
        <w:tc>
          <w:tcPr>
            <w:tcW w:w="2310" w:type="dxa"/>
            <w:shd w:val="clear" w:color="auto" w:fill="FFFFFF"/>
            <w:vAlign w:val="center"/>
          </w:tcPr>
          <w:p w:rsidR="00BC4D1D" w:rsidRPr="00C739BE" w:rsidRDefault="00BC4D1D" w:rsidP="00BF363E">
            <w:pPr>
              <w:jc w:val="right"/>
              <w:cnfStyle w:val="000000010000" w:firstRow="0" w:lastRow="0" w:firstColumn="0" w:lastColumn="0" w:oddVBand="0" w:evenVBand="0" w:oddHBand="0" w:evenHBand="1" w:firstRowFirstColumn="0" w:firstRowLastColumn="0" w:lastRowFirstColumn="0" w:lastRowLastColumn="0"/>
            </w:pPr>
            <w:r w:rsidRPr="00C739BE">
              <w:rPr>
                <w:b/>
                <w:sz w:val="18"/>
                <w:szCs w:val="18"/>
              </w:rPr>
              <w:t>0,00</w:t>
            </w:r>
          </w:p>
        </w:tc>
        <w:tc>
          <w:tcPr>
            <w:tcW w:w="2310" w:type="dxa"/>
            <w:shd w:val="clear" w:color="auto" w:fill="FFFFFF"/>
            <w:vAlign w:val="center"/>
          </w:tcPr>
          <w:p w:rsidR="00BC4D1D" w:rsidRPr="00C739BE" w:rsidRDefault="00BC4D1D" w:rsidP="00BF363E">
            <w:pPr>
              <w:jc w:val="right"/>
              <w:cnfStyle w:val="000000010000" w:firstRow="0" w:lastRow="0" w:firstColumn="0" w:lastColumn="0" w:oddVBand="0" w:evenVBand="0" w:oddHBand="0" w:evenHBand="1" w:firstRowFirstColumn="0" w:firstRowLastColumn="0" w:lastRowFirstColumn="0" w:lastRowLastColumn="0"/>
            </w:pPr>
            <w:r w:rsidRPr="00C739BE">
              <w:rPr>
                <w:b/>
                <w:sz w:val="18"/>
                <w:szCs w:val="18"/>
              </w:rPr>
              <w:t>0,00</w:t>
            </w:r>
          </w:p>
        </w:tc>
      </w:tr>
    </w:tbl>
    <w:p w:rsidR="00BC4D1D" w:rsidRPr="00C739BE" w:rsidRDefault="00BC4D1D" w:rsidP="00BC4D1D">
      <w:r w:rsidRPr="00C739BE">
        <w:t>Il Consorzio è proprietario degli impianti di smaltimento sita in Mergozzo Loc. Prato Michelaccio che sono beni indisponibili e strumentali all’attività di gestione dei rifiuti affidati in comodato d’uso gratuito alla Società ConSerVCO  SpA., pertanto non sono previste dismissioni e/o alienazioni.</w:t>
      </w:r>
    </w:p>
    <w:p w:rsidR="00827945" w:rsidRDefault="00827945">
      <w:pPr>
        <w:jc w:val="left"/>
        <w:rPr>
          <w:noProof/>
        </w:rPr>
      </w:pPr>
    </w:p>
    <w:p w:rsidR="00816AF2" w:rsidRDefault="00816AF2"/>
    <w:p w:rsidR="00827945" w:rsidRDefault="00827945" w:rsidP="00C6509C"/>
    <w:p w:rsidR="00D13C45" w:rsidRDefault="00D13C45" w:rsidP="00827945">
      <w:pPr>
        <w:jc w:val="left"/>
        <w:sectPr w:rsidR="00D13C45" w:rsidSect="00501BEB">
          <w:headerReference w:type="default" r:id="rId63"/>
          <w:footerReference w:type="default" r:id="rId64"/>
          <w:pgSz w:w="16838" w:h="11906" w:orient="landscape" w:code="9"/>
          <w:pgMar w:top="1134" w:right="1418" w:bottom="1134" w:left="1134" w:header="709" w:footer="709" w:gutter="0"/>
          <w:cols w:space="708"/>
          <w:docGrid w:linePitch="360"/>
        </w:sectPr>
      </w:pPr>
    </w:p>
    <w:p w:rsidR="00A35DB3" w:rsidRDefault="00C6509C" w:rsidP="00A35DB3">
      <w:pPr>
        <w:pStyle w:val="Titolo3"/>
      </w:pPr>
      <w:r>
        <w:lastRenderedPageBreak/>
        <w:t xml:space="preserve"> </w:t>
      </w:r>
      <w:bookmarkStart w:id="26" w:name="_Toc496177155"/>
      <w:r w:rsidRPr="00935F77">
        <w:t>Piano delle alienazioni e valorizzazioni immobiliari</w:t>
      </w:r>
      <w:bookmarkEnd w:id="26"/>
    </w:p>
    <w:p w:rsidR="007F1026" w:rsidRDefault="007F1026" w:rsidP="007F1026"/>
    <w:p w:rsidR="006218A5" w:rsidRDefault="006218A5" w:rsidP="003E4421">
      <w:pPr>
        <w:spacing w:line="360" w:lineRule="auto"/>
      </w:pPr>
      <w:r w:rsidRPr="00CD40E0">
        <w:t>L'art. 58 del D.L. 25 giugno 2008, n.112, così come convertito dalla Legge 6 agosto 2008, n. 133, stabilisce che per procedere al riordino, gestione e valorizzazione del patrimoni</w:t>
      </w:r>
      <w:r>
        <w:t xml:space="preserve">o immobiliare, gli enti locali </w:t>
      </w:r>
      <w:r w:rsidRPr="00CD40E0">
        <w:t>individuano, redigendo apposito elenco sulla base e nei limiti della documentazione esistente presso i propri archivi e uffici, i singoli beni immobili ricadenti nel territorio di competenza, non strumentali all'esercizio delle proprie funzioni istituzionali, suscettibili di valorizzazione ovvero di dismissione.</w:t>
      </w:r>
      <w:r>
        <w:t xml:space="preserve"> E’ bene non dimenticare che la dismissione di un bene patrimoniale può costituire una importante fonte finanziaria da utilizzare proprio per il perseguimento di finalità di lungo respiro.</w:t>
      </w:r>
    </w:p>
    <w:p w:rsidR="00323EFF" w:rsidRDefault="00323EFF" w:rsidP="003E4421">
      <w:pPr>
        <w:spacing w:line="360" w:lineRule="auto"/>
      </w:pPr>
    </w:p>
    <w:tbl>
      <w:tblPr>
        <w:tblStyle w:val="Grigliachiara-Colore5"/>
        <w:tblW w:w="5000" w:type="auto"/>
        <w:tblLook w:val="04A0" w:firstRow="1" w:lastRow="0" w:firstColumn="1" w:lastColumn="0" w:noHBand="0" w:noVBand="1"/>
      </w:tblPr>
      <w:tblGrid>
        <w:gridCol w:w="1515"/>
        <w:gridCol w:w="1554"/>
        <w:gridCol w:w="1485"/>
        <w:gridCol w:w="1466"/>
        <w:gridCol w:w="1278"/>
        <w:gridCol w:w="1278"/>
        <w:gridCol w:w="1278"/>
      </w:tblGrid>
      <w:tr w:rsidR="00816AF2" w:rsidTr="00816A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vMerge w:val="restart"/>
            <w:vAlign w:val="center"/>
          </w:tcPr>
          <w:p w:rsidR="00816AF2" w:rsidRDefault="00A05F67">
            <w:pPr>
              <w:jc w:val="center"/>
            </w:pPr>
            <w:r>
              <w:rPr>
                <w:rFonts w:ascii="Calibri" w:hAnsi="Calibri" w:cs="Calibri"/>
                <w:i/>
                <w:sz w:val="18"/>
                <w:szCs w:val="18"/>
              </w:rPr>
              <w:t>Rif. Intervento</w:t>
            </w:r>
          </w:p>
        </w:tc>
        <w:tc>
          <w:tcPr>
            <w:tcW w:w="2310"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18"/>
                <w:szCs w:val="18"/>
              </w:rPr>
              <w:t>Descrizione Immobile</w:t>
            </w:r>
          </w:p>
        </w:tc>
        <w:tc>
          <w:tcPr>
            <w:tcW w:w="2310"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18"/>
                <w:szCs w:val="18"/>
              </w:rPr>
              <w:t>Solo Diritto di Superficie</w:t>
            </w:r>
          </w:p>
        </w:tc>
        <w:tc>
          <w:tcPr>
            <w:tcW w:w="2310" w:type="dxa"/>
            <w:vMerge w:val="restart"/>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18"/>
                <w:szCs w:val="18"/>
              </w:rPr>
              <w:t>Piena Proprietà</w:t>
            </w:r>
          </w:p>
        </w:tc>
        <w:tc>
          <w:tcPr>
            <w:tcW w:w="2310" w:type="dxa"/>
            <w:gridSpan w:val="3"/>
            <w:vAlign w:val="center"/>
          </w:tcPr>
          <w:p w:rsidR="00816AF2" w:rsidRDefault="00A05F67">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18"/>
                <w:szCs w:val="18"/>
              </w:rPr>
              <w:t>Valore Stimato</w:t>
            </w:r>
          </w:p>
        </w:tc>
      </w:tr>
      <w:tr w:rsidR="00816AF2" w:rsidTr="00816A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vMerge/>
            <w:vAlign w:val="center"/>
          </w:tcPr>
          <w:p w:rsidR="00816AF2" w:rsidRDefault="00816AF2"/>
        </w:tc>
        <w:tc>
          <w:tcPr>
            <w:tcW w:w="2310" w:type="dxa"/>
            <w:vMerge/>
            <w:vAlign w:val="center"/>
          </w:tcPr>
          <w:p w:rsidR="00816AF2" w:rsidRDefault="00816AF2">
            <w:pPr>
              <w:cnfStyle w:val="000000100000" w:firstRow="0" w:lastRow="0" w:firstColumn="0" w:lastColumn="0" w:oddVBand="0" w:evenVBand="0" w:oddHBand="1" w:evenHBand="0" w:firstRowFirstColumn="0" w:firstRowLastColumn="0" w:lastRowFirstColumn="0" w:lastRowLastColumn="0"/>
            </w:pPr>
          </w:p>
        </w:tc>
        <w:tc>
          <w:tcPr>
            <w:tcW w:w="2310" w:type="dxa"/>
            <w:vMerge/>
            <w:vAlign w:val="center"/>
          </w:tcPr>
          <w:p w:rsidR="00816AF2" w:rsidRDefault="00816AF2">
            <w:pPr>
              <w:cnfStyle w:val="000000100000" w:firstRow="0" w:lastRow="0" w:firstColumn="0" w:lastColumn="0" w:oddVBand="0" w:evenVBand="0" w:oddHBand="1" w:evenHBand="0" w:firstRowFirstColumn="0" w:firstRowLastColumn="0" w:lastRowFirstColumn="0" w:lastRowLastColumn="0"/>
            </w:pPr>
          </w:p>
        </w:tc>
        <w:tc>
          <w:tcPr>
            <w:tcW w:w="2310" w:type="dxa"/>
            <w:vMerge/>
            <w:vAlign w:val="center"/>
          </w:tcPr>
          <w:p w:rsidR="00816AF2" w:rsidRDefault="00816AF2">
            <w:pPr>
              <w:cnfStyle w:val="000000100000" w:firstRow="0" w:lastRow="0" w:firstColumn="0" w:lastColumn="0" w:oddVBand="0" w:evenVBand="0" w:oddHBand="1" w:evenHBand="0" w:firstRowFirstColumn="0" w:firstRowLastColumn="0" w:lastRowFirstColumn="0" w:lastRowLastColumn="0"/>
            </w:pPr>
          </w:p>
        </w:tc>
        <w:tc>
          <w:tcPr>
            <w:tcW w:w="2310" w:type="dxa"/>
            <w:shd w:val="clear" w:color="auto" w:fill="FFFFFF"/>
            <w:vAlign w:val="center"/>
          </w:tcPr>
          <w:p w:rsidR="00816AF2" w:rsidRDefault="00A05F67">
            <w:pPr>
              <w:jc w:val="center"/>
              <w:cnfStyle w:val="000000100000" w:firstRow="0" w:lastRow="0" w:firstColumn="0" w:lastColumn="0" w:oddVBand="0" w:evenVBand="0" w:oddHBand="1" w:evenHBand="0" w:firstRowFirstColumn="0" w:firstRowLastColumn="0" w:lastRowFirstColumn="0" w:lastRowLastColumn="0"/>
            </w:pPr>
            <w:r>
              <w:rPr>
                <w:rFonts w:ascii="Calibri" w:hAnsi="Calibri" w:cs="Calibri"/>
                <w:b/>
                <w:i/>
                <w:sz w:val="18"/>
                <w:szCs w:val="18"/>
              </w:rPr>
              <w:t>1° Anno</w:t>
            </w:r>
          </w:p>
        </w:tc>
        <w:tc>
          <w:tcPr>
            <w:tcW w:w="2310" w:type="dxa"/>
            <w:shd w:val="clear" w:color="auto" w:fill="FFFFFF"/>
            <w:vAlign w:val="center"/>
          </w:tcPr>
          <w:p w:rsidR="00816AF2" w:rsidRDefault="00A05F67">
            <w:pPr>
              <w:jc w:val="center"/>
              <w:cnfStyle w:val="000000100000" w:firstRow="0" w:lastRow="0" w:firstColumn="0" w:lastColumn="0" w:oddVBand="0" w:evenVBand="0" w:oddHBand="1" w:evenHBand="0" w:firstRowFirstColumn="0" w:firstRowLastColumn="0" w:lastRowFirstColumn="0" w:lastRowLastColumn="0"/>
            </w:pPr>
            <w:r>
              <w:rPr>
                <w:rFonts w:ascii="Calibri" w:hAnsi="Calibri" w:cs="Calibri"/>
                <w:b/>
                <w:i/>
                <w:sz w:val="18"/>
                <w:szCs w:val="18"/>
              </w:rPr>
              <w:t>2° Anno</w:t>
            </w:r>
          </w:p>
        </w:tc>
        <w:tc>
          <w:tcPr>
            <w:tcW w:w="2310" w:type="dxa"/>
            <w:shd w:val="clear" w:color="auto" w:fill="FFFFFF"/>
            <w:vAlign w:val="center"/>
          </w:tcPr>
          <w:p w:rsidR="00816AF2" w:rsidRDefault="00A05F67">
            <w:pPr>
              <w:jc w:val="center"/>
              <w:cnfStyle w:val="000000100000" w:firstRow="0" w:lastRow="0" w:firstColumn="0" w:lastColumn="0" w:oddVBand="0" w:evenVBand="0" w:oddHBand="1" w:evenHBand="0" w:firstRowFirstColumn="0" w:firstRowLastColumn="0" w:lastRowFirstColumn="0" w:lastRowLastColumn="0"/>
            </w:pPr>
            <w:r>
              <w:rPr>
                <w:rFonts w:ascii="Calibri" w:hAnsi="Calibri" w:cs="Calibri"/>
                <w:b/>
                <w:i/>
                <w:sz w:val="18"/>
                <w:szCs w:val="18"/>
              </w:rPr>
              <w:t>3° Anno</w:t>
            </w:r>
          </w:p>
        </w:tc>
      </w:tr>
      <w:tr w:rsidR="00816AF2" w:rsidTr="00816A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tcBorders>
              <w:left w:val="single" w:sz="2" w:space="0" w:color="FFFFFF"/>
              <w:bottom w:val="single" w:sz="2" w:space="0" w:color="FFFFFF"/>
              <w:right w:val="single" w:sz="2" w:space="0" w:color="FFFFFF"/>
            </w:tcBorders>
            <w:shd w:val="clear" w:color="auto" w:fill="FFFFFF"/>
            <w:vAlign w:val="center"/>
          </w:tcPr>
          <w:p w:rsidR="00816AF2" w:rsidRDefault="00816AF2"/>
        </w:tc>
        <w:tc>
          <w:tcPr>
            <w:tcW w:w="2310" w:type="dxa"/>
            <w:tcBorders>
              <w:left w:val="single" w:sz="2" w:space="0" w:color="FFFFFF"/>
              <w:bottom w:val="single" w:sz="2" w:space="0" w:color="FFFFFF"/>
              <w:right w:val="single" w:sz="2" w:space="0" w:color="FFFFFF"/>
            </w:tcBorders>
            <w:shd w:val="clear" w:color="auto" w:fill="FFFFFF"/>
            <w:vAlign w:val="center"/>
          </w:tcPr>
          <w:p w:rsidR="00816AF2" w:rsidRDefault="00816AF2">
            <w:pPr>
              <w:cnfStyle w:val="000000010000" w:firstRow="0" w:lastRow="0" w:firstColumn="0" w:lastColumn="0" w:oddVBand="0" w:evenVBand="0" w:oddHBand="0" w:evenHBand="1" w:firstRowFirstColumn="0" w:firstRowLastColumn="0" w:lastRowFirstColumn="0" w:lastRowLastColumn="0"/>
            </w:pPr>
          </w:p>
        </w:tc>
        <w:tc>
          <w:tcPr>
            <w:tcW w:w="2310" w:type="dxa"/>
            <w:tcBorders>
              <w:left w:val="single" w:sz="2" w:space="0" w:color="FFFFFF"/>
              <w:bottom w:val="single" w:sz="2" w:space="0" w:color="FFFFFF"/>
              <w:right w:val="single" w:sz="2" w:space="0" w:color="FFFFFF"/>
            </w:tcBorders>
            <w:shd w:val="clear" w:color="auto" w:fill="FFFFFF"/>
            <w:vAlign w:val="center"/>
          </w:tcPr>
          <w:p w:rsidR="00816AF2" w:rsidRDefault="00816AF2">
            <w:pPr>
              <w:cnfStyle w:val="000000010000" w:firstRow="0" w:lastRow="0" w:firstColumn="0" w:lastColumn="0" w:oddVBand="0" w:evenVBand="0" w:oddHBand="0" w:evenHBand="1" w:firstRowFirstColumn="0" w:firstRowLastColumn="0" w:lastRowFirstColumn="0" w:lastRowLastColumn="0"/>
            </w:pPr>
          </w:p>
        </w:tc>
        <w:tc>
          <w:tcPr>
            <w:tcW w:w="2310" w:type="dxa"/>
            <w:tcBorders>
              <w:left w:val="single" w:sz="2" w:space="0" w:color="FFFFFF"/>
              <w:bottom w:val="single" w:sz="2" w:space="0" w:color="FFFFFF"/>
              <w:right w:val="single" w:sz="2" w:space="0" w:color="FFFFFF"/>
            </w:tcBorders>
            <w:shd w:val="clear" w:color="auto" w:fill="FFFFFF"/>
            <w:vAlign w:val="center"/>
          </w:tcPr>
          <w:p w:rsidR="00816AF2" w:rsidRDefault="00A05F67">
            <w:pPr>
              <w:jc w:val="right"/>
              <w:cnfStyle w:val="000000010000" w:firstRow="0" w:lastRow="0" w:firstColumn="0" w:lastColumn="0" w:oddVBand="0" w:evenVBand="0" w:oddHBand="0" w:evenHBand="1" w:firstRowFirstColumn="0" w:firstRowLastColumn="0" w:lastRowFirstColumn="0" w:lastRowLastColumn="0"/>
            </w:pPr>
            <w:r>
              <w:rPr>
                <w:rFonts w:ascii="Calibri" w:hAnsi="Calibri" w:cs="Calibri"/>
                <w:b/>
                <w:sz w:val="18"/>
                <w:szCs w:val="18"/>
              </w:rPr>
              <w:t>TOTALE</w:t>
            </w:r>
          </w:p>
        </w:tc>
        <w:tc>
          <w:tcPr>
            <w:tcW w:w="2310" w:type="dxa"/>
            <w:shd w:val="clear" w:color="auto" w:fill="FFFFFF"/>
            <w:vAlign w:val="center"/>
          </w:tcPr>
          <w:p w:rsidR="00816AF2" w:rsidRDefault="00A05F67">
            <w:pPr>
              <w:jc w:val="right"/>
              <w:cnfStyle w:val="000000010000" w:firstRow="0" w:lastRow="0" w:firstColumn="0" w:lastColumn="0" w:oddVBand="0" w:evenVBand="0" w:oddHBand="0" w:evenHBand="1" w:firstRowFirstColumn="0" w:firstRowLastColumn="0" w:lastRowFirstColumn="0" w:lastRowLastColumn="0"/>
            </w:pPr>
            <w:r>
              <w:rPr>
                <w:b/>
                <w:sz w:val="18"/>
                <w:szCs w:val="18"/>
              </w:rPr>
              <w:t>0,00</w:t>
            </w:r>
          </w:p>
        </w:tc>
        <w:tc>
          <w:tcPr>
            <w:tcW w:w="2310" w:type="dxa"/>
            <w:shd w:val="clear" w:color="auto" w:fill="FFFFFF"/>
            <w:vAlign w:val="center"/>
          </w:tcPr>
          <w:p w:rsidR="00816AF2" w:rsidRDefault="00A05F67">
            <w:pPr>
              <w:jc w:val="right"/>
              <w:cnfStyle w:val="000000010000" w:firstRow="0" w:lastRow="0" w:firstColumn="0" w:lastColumn="0" w:oddVBand="0" w:evenVBand="0" w:oddHBand="0" w:evenHBand="1" w:firstRowFirstColumn="0" w:firstRowLastColumn="0" w:lastRowFirstColumn="0" w:lastRowLastColumn="0"/>
            </w:pPr>
            <w:r>
              <w:rPr>
                <w:b/>
                <w:sz w:val="18"/>
                <w:szCs w:val="18"/>
              </w:rPr>
              <w:t>0,00</w:t>
            </w:r>
          </w:p>
        </w:tc>
        <w:tc>
          <w:tcPr>
            <w:tcW w:w="2310" w:type="dxa"/>
            <w:shd w:val="clear" w:color="auto" w:fill="FFFFFF"/>
            <w:vAlign w:val="center"/>
          </w:tcPr>
          <w:p w:rsidR="00816AF2" w:rsidRDefault="00A05F67">
            <w:pPr>
              <w:jc w:val="right"/>
              <w:cnfStyle w:val="000000010000" w:firstRow="0" w:lastRow="0" w:firstColumn="0" w:lastColumn="0" w:oddVBand="0" w:evenVBand="0" w:oddHBand="0" w:evenHBand="1" w:firstRowFirstColumn="0" w:firstRowLastColumn="0" w:lastRowFirstColumn="0" w:lastRowLastColumn="0"/>
            </w:pPr>
            <w:r>
              <w:rPr>
                <w:b/>
                <w:sz w:val="18"/>
                <w:szCs w:val="18"/>
              </w:rPr>
              <w:t>0,00</w:t>
            </w:r>
          </w:p>
        </w:tc>
      </w:tr>
    </w:tbl>
    <w:p w:rsidR="00816AF2" w:rsidRDefault="00816AF2"/>
    <w:sectPr w:rsidR="00816AF2" w:rsidSect="000F3985">
      <w:headerReference w:type="default" r:id="rId65"/>
      <w:footerReference w:type="default" r:id="rId6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E50" w:rsidRDefault="00F57E50" w:rsidP="000239FD">
      <w:pPr>
        <w:spacing w:after="0" w:line="240" w:lineRule="auto"/>
      </w:pPr>
      <w:r>
        <w:separator/>
      </w:r>
    </w:p>
  </w:endnote>
  <w:endnote w:type="continuationSeparator" w:id="0">
    <w:p w:rsidR="00F57E50" w:rsidRDefault="00F57E50" w:rsidP="00023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ngsanaUPC">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Default="00802D93">
    <w:pPr>
      <w:pStyle w:val="Pidipagina"/>
      <w:pBdr>
        <w:top w:val="thinThickSmallGap" w:sz="24" w:space="1" w:color="622423" w:themeColor="accent2" w:themeShade="7F"/>
      </w:pBdr>
      <w:rPr>
        <w:rFonts w:asciiTheme="majorHAnsi" w:hAnsiTheme="majorHAnsi"/>
      </w:rPr>
    </w:pPr>
    <w:sdt>
      <w:sdtPr>
        <w:rPr>
          <w:rFonts w:asciiTheme="majorHAnsi" w:hAnsiTheme="majorHAnsi"/>
        </w:rPr>
        <w:id w:val="76027555"/>
        <w:placeholder>
          <w:docPart w:val="6777981C8C89408797909B5058138AE7"/>
        </w:placeholder>
        <w:temporary/>
        <w:showingPlcHdr/>
      </w:sdtPr>
      <w:sdtEndPr/>
      <w:sdtContent>
        <w:r w:rsidR="00F57E50">
          <w:rPr>
            <w:rFonts w:asciiTheme="majorHAnsi" w:hAnsiTheme="majorHAnsi"/>
          </w:rPr>
          <w:t>[Digitare il testo]</w:t>
        </w:r>
      </w:sdtContent>
    </w:sdt>
    <w:r w:rsidR="00F57E50">
      <w:rPr>
        <w:rFonts w:asciiTheme="majorHAnsi" w:hAnsiTheme="majorHAnsi"/>
      </w:rPr>
      <w:ptab w:relativeTo="margin" w:alignment="right" w:leader="none"/>
    </w:r>
    <w:r w:rsidR="00F57E50">
      <w:rPr>
        <w:rFonts w:asciiTheme="majorHAnsi" w:hAnsiTheme="majorHAnsi"/>
      </w:rPr>
      <w:t xml:space="preserve">Pagina </w:t>
    </w:r>
    <w:r w:rsidR="00F57E50">
      <w:fldChar w:fldCharType="begin"/>
    </w:r>
    <w:r w:rsidR="00F57E50">
      <w:instrText xml:space="preserve"> PAGE   \* MERGEFORMAT </w:instrText>
    </w:r>
    <w:r w:rsidR="00F57E50">
      <w:fldChar w:fldCharType="separate"/>
    </w:r>
    <w:r w:rsidRPr="00802D93">
      <w:rPr>
        <w:rFonts w:asciiTheme="majorHAnsi" w:hAnsiTheme="majorHAnsi"/>
        <w:noProof/>
      </w:rPr>
      <w:t>1</w:t>
    </w:r>
    <w:r w:rsidR="00F57E50">
      <w:rPr>
        <w:rFonts w:asciiTheme="majorHAnsi" w:hAnsiTheme="majorHAnsi"/>
        <w:noProof/>
      </w:rPr>
      <w:fldChar w:fldCharType="end"/>
    </w:r>
  </w:p>
  <w:p w:rsidR="00F57E50" w:rsidRDefault="00F57E50">
    <w:pPr>
      <w:pStyle w:val="Pidipagin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Pr="001B33AC" w:rsidRDefault="00F57E50" w:rsidP="001B33AC">
    <w:pPr>
      <w:pStyle w:val="Pidipagin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Pr="001B33AC" w:rsidRDefault="00F57E50" w:rsidP="001B33AC">
    <w:pPr>
      <w:pStyle w:val="Pidipagina"/>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Pr="001B33AC" w:rsidRDefault="00F57E50" w:rsidP="001B33AC">
    <w:pPr>
      <w:pStyle w:val="Pidipagina"/>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Pr="001B33AC" w:rsidRDefault="00F57E50" w:rsidP="001B33AC">
    <w:pPr>
      <w:pStyle w:val="Pidipagin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Pr="001B33AC" w:rsidRDefault="00F57E50" w:rsidP="001B33AC">
    <w:pPr>
      <w:pStyle w:val="Pidipagina"/>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Pr="001B33AC" w:rsidRDefault="00F57E50" w:rsidP="001B33AC">
    <w:pPr>
      <w:pStyle w:val="Pidipagin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Pr="001B33AC" w:rsidRDefault="00F57E50" w:rsidP="001B33A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Pr="001B33AC" w:rsidRDefault="00F57E50" w:rsidP="001B33AC">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Pr="001B33AC" w:rsidRDefault="00F57E50" w:rsidP="001B33AC">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Pr="001B33AC" w:rsidRDefault="00F57E50" w:rsidP="001B33AC">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Pr="001B33AC" w:rsidRDefault="00F57E50" w:rsidP="001B33AC">
    <w:pPr>
      <w:pStyle w:val="Pidipa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Pr="001B33AC" w:rsidRDefault="00F57E50" w:rsidP="001B33AC">
    <w:pPr>
      <w:pStyle w:val="Pidipa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Pr="001B33AC" w:rsidRDefault="00F57E50" w:rsidP="001B33AC">
    <w:pPr>
      <w:pStyle w:val="Pidipagin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Pr="001B33AC" w:rsidRDefault="00F57E50" w:rsidP="001B33AC">
    <w:pPr>
      <w:pStyle w:val="Pidipagin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Pr="001B33AC" w:rsidRDefault="00F57E50" w:rsidP="001B33A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E50" w:rsidRDefault="00F57E50" w:rsidP="000239FD">
      <w:pPr>
        <w:spacing w:after="0" w:line="240" w:lineRule="auto"/>
      </w:pPr>
      <w:r>
        <w:separator/>
      </w:r>
    </w:p>
  </w:footnote>
  <w:footnote w:type="continuationSeparator" w:id="0">
    <w:p w:rsidR="00F57E50" w:rsidRDefault="00F57E50" w:rsidP="000239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Default="00802D93" w:rsidP="004E42A0">
    <w:pPr>
      <w:pStyle w:val="Intestazione"/>
      <w:pBdr>
        <w:between w:val="single" w:sz="4" w:space="1" w:color="4F81BD" w:themeColor="accent1"/>
      </w:pBdr>
      <w:tabs>
        <w:tab w:val="clear" w:pos="4819"/>
        <w:tab w:val="clear" w:pos="9638"/>
        <w:tab w:val="left" w:pos="5850"/>
      </w:tabs>
      <w:spacing w:line="276" w:lineRule="auto"/>
    </w:pPr>
    <w:sdt>
      <w:sdtPr>
        <w:alias w:val="Titolo"/>
        <w:id w:val="77547040"/>
        <w:placeholder>
          <w:docPart w:val="0E0DFC568D214657A4AECD8C69D65214"/>
        </w:placeholder>
        <w:showingPlcHdr/>
        <w:dataBinding w:prefixMappings="xmlns:ns0='http://schemas.openxmlformats.org/package/2006/metadata/core-properties' xmlns:ns1='http://purl.org/dc/elements/1.1/'" w:xpath="/ns0:coreProperties[1]/ns1:title[1]" w:storeItemID="{6C3C8BC8-F283-45AE-878A-BAB7291924A1}"/>
        <w:text/>
      </w:sdtPr>
      <w:sdtEndPr/>
      <w:sdtContent>
        <w:r w:rsidR="00F57E50">
          <w:t>[Digitare il titolo del documento]</w:t>
        </w:r>
      </w:sdtContent>
    </w:sdt>
    <w:r w:rsidR="00F57E50">
      <w:tab/>
    </w:r>
  </w:p>
  <w:p w:rsidR="00F57E50" w:rsidRDefault="00F57E50" w:rsidP="00231AF8">
    <w:pPr>
      <w:pStyle w:val="Intestazione"/>
      <w:pBdr>
        <w:between w:val="single" w:sz="4" w:space="1" w:color="4F81BD" w:themeColor="accent1"/>
      </w:pBdr>
      <w:tabs>
        <w:tab w:val="left" w:pos="6525"/>
      </w:tabs>
      <w:spacing w:line="276" w:lineRule="auto"/>
    </w:pPr>
  </w:p>
  <w:p w:rsidR="00F57E50" w:rsidRDefault="00F57E50">
    <w:pPr>
      <w:pStyle w:val="Intestazio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Default="00F57E50" w:rsidP="00231AF8">
    <w:pPr>
      <w:pStyle w:val="Intestazione"/>
      <w:pBdr>
        <w:between w:val="single" w:sz="4" w:space="1" w:color="4F81BD" w:themeColor="accent1"/>
      </w:pBdr>
      <w:spacing w:line="276" w:lineRule="auto"/>
    </w:pPr>
    <w:r>
      <w:t>Sezione Operativa</w:t>
    </w:r>
  </w:p>
  <w:p w:rsidR="00F57E50" w:rsidRDefault="00F57E50" w:rsidP="00231AF8">
    <w:pPr>
      <w:pStyle w:val="Intestazione"/>
      <w:pBdr>
        <w:between w:val="single" w:sz="4" w:space="1" w:color="4F81BD" w:themeColor="accent1"/>
      </w:pBdr>
      <w:tabs>
        <w:tab w:val="left" w:pos="6525"/>
      </w:tabs>
      <w:spacing w:line="276"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Default="00F57E50" w:rsidP="00C01F7E">
    <w:pPr>
      <w:pStyle w:val="Intestazione"/>
      <w:pBdr>
        <w:between w:val="single" w:sz="4" w:space="1" w:color="4F81BD" w:themeColor="accent1"/>
      </w:pBdr>
      <w:tabs>
        <w:tab w:val="clear" w:pos="4819"/>
        <w:tab w:val="clear" w:pos="9638"/>
        <w:tab w:val="left" w:pos="5850"/>
      </w:tabs>
      <w:spacing w:line="276" w:lineRule="auto"/>
    </w:pPr>
  </w:p>
  <w:p w:rsidR="00F57E50" w:rsidRDefault="00F57E50" w:rsidP="00C01F7E">
    <w:pPr>
      <w:pStyle w:val="Intestazione"/>
      <w:pBdr>
        <w:between w:val="single" w:sz="4" w:space="1" w:color="4F81BD" w:themeColor="accent1"/>
      </w:pBdr>
      <w:tabs>
        <w:tab w:val="clear" w:pos="4819"/>
        <w:tab w:val="clear" w:pos="9638"/>
        <w:tab w:val="left" w:pos="5850"/>
      </w:tabs>
      <w:spacing w:line="276"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Default="00F57E50" w:rsidP="004E42A0">
    <w:pPr>
      <w:pStyle w:val="Intestazione"/>
      <w:pBdr>
        <w:between w:val="single" w:sz="4" w:space="1" w:color="4F81BD" w:themeColor="accent1"/>
      </w:pBdr>
      <w:tabs>
        <w:tab w:val="clear" w:pos="4819"/>
        <w:tab w:val="clear" w:pos="9638"/>
        <w:tab w:val="left" w:pos="5850"/>
      </w:tabs>
      <w:spacing w:line="276" w:lineRule="auto"/>
    </w:pPr>
  </w:p>
  <w:p w:rsidR="00F57E50" w:rsidRDefault="00F57E50" w:rsidP="00231AF8">
    <w:pPr>
      <w:pStyle w:val="Intestazione"/>
      <w:pBdr>
        <w:between w:val="single" w:sz="4" w:space="1" w:color="4F81BD" w:themeColor="accent1"/>
      </w:pBdr>
      <w:tabs>
        <w:tab w:val="left" w:pos="6525"/>
      </w:tabs>
      <w:spacing w:line="276"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Default="00F57E50" w:rsidP="004E42A0">
    <w:pPr>
      <w:pStyle w:val="Intestazione"/>
      <w:pBdr>
        <w:between w:val="single" w:sz="4" w:space="1" w:color="4F81BD" w:themeColor="accent1"/>
      </w:pBdr>
      <w:tabs>
        <w:tab w:val="clear" w:pos="4819"/>
        <w:tab w:val="clear" w:pos="9638"/>
        <w:tab w:val="left" w:pos="5850"/>
      </w:tabs>
      <w:spacing w:line="276" w:lineRule="auto"/>
    </w:pPr>
    <w:r>
      <w:t>Sezione Strategica</w:t>
    </w:r>
  </w:p>
  <w:p w:rsidR="00F57E50" w:rsidRDefault="00F57E50" w:rsidP="00231AF8">
    <w:pPr>
      <w:pStyle w:val="Intestazione"/>
      <w:pBdr>
        <w:between w:val="single" w:sz="4" w:space="1" w:color="4F81BD" w:themeColor="accent1"/>
      </w:pBdr>
      <w:tabs>
        <w:tab w:val="left" w:pos="6525"/>
      </w:tabs>
      <w:spacing w:line="276" w:lineRule="aut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Default="00F57E50" w:rsidP="00231AF8">
    <w:pPr>
      <w:pStyle w:val="Intestazione"/>
      <w:pBdr>
        <w:between w:val="single" w:sz="4" w:space="1" w:color="4F81BD" w:themeColor="accent1"/>
      </w:pBdr>
      <w:spacing w:line="276" w:lineRule="auto"/>
    </w:pPr>
  </w:p>
  <w:p w:rsidR="00F57E50" w:rsidRDefault="00F57E50" w:rsidP="00231AF8">
    <w:pPr>
      <w:pStyle w:val="Intestazione"/>
      <w:pBdr>
        <w:between w:val="single" w:sz="4" w:space="1" w:color="4F81BD" w:themeColor="accent1"/>
      </w:pBdr>
      <w:tabs>
        <w:tab w:val="left" w:pos="6525"/>
      </w:tabs>
      <w:spacing w:line="276" w:lineRule="aut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Default="00F57E50" w:rsidP="00231AF8">
    <w:pPr>
      <w:pStyle w:val="Intestazione"/>
      <w:pBdr>
        <w:between w:val="single" w:sz="4" w:space="1" w:color="4F81BD" w:themeColor="accent1"/>
      </w:pBdr>
      <w:spacing w:line="276" w:lineRule="auto"/>
    </w:pPr>
    <w:r>
      <w:t>Sezione Operativa</w:t>
    </w:r>
  </w:p>
  <w:p w:rsidR="00F57E50" w:rsidRDefault="00F57E50" w:rsidP="00231AF8">
    <w:pPr>
      <w:pStyle w:val="Intestazione"/>
      <w:pBdr>
        <w:between w:val="single" w:sz="4" w:space="1" w:color="4F81BD" w:themeColor="accent1"/>
      </w:pBdr>
      <w:tabs>
        <w:tab w:val="left" w:pos="6525"/>
      </w:tabs>
      <w:spacing w:line="276" w:lineRule="aut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Default="00F57E50" w:rsidP="00231AF8">
    <w:pPr>
      <w:pStyle w:val="Intestazione"/>
      <w:pBdr>
        <w:between w:val="single" w:sz="4" w:space="1" w:color="4F81BD" w:themeColor="accent1"/>
      </w:pBdr>
      <w:spacing w:line="276" w:lineRule="auto"/>
    </w:pPr>
    <w:r>
      <w:t>Sezione Operativa</w:t>
    </w:r>
  </w:p>
  <w:p w:rsidR="00F57E50" w:rsidRDefault="00F57E50" w:rsidP="00231AF8">
    <w:pPr>
      <w:pStyle w:val="Intestazione"/>
      <w:pBdr>
        <w:between w:val="single" w:sz="4" w:space="1" w:color="4F81BD" w:themeColor="accent1"/>
      </w:pBdr>
      <w:tabs>
        <w:tab w:val="left" w:pos="6525"/>
      </w:tabs>
      <w:spacing w:line="276"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Default="00F57E50" w:rsidP="00231AF8">
    <w:pPr>
      <w:pStyle w:val="Intestazione"/>
      <w:pBdr>
        <w:between w:val="single" w:sz="4" w:space="1" w:color="4F81BD" w:themeColor="accent1"/>
      </w:pBdr>
      <w:spacing w:line="276" w:lineRule="auto"/>
    </w:pPr>
    <w:r>
      <w:t>Sezione Operativa</w:t>
    </w:r>
  </w:p>
  <w:p w:rsidR="00F57E50" w:rsidRDefault="00F57E50" w:rsidP="00231AF8">
    <w:pPr>
      <w:pStyle w:val="Intestazione"/>
      <w:pBdr>
        <w:between w:val="single" w:sz="4" w:space="1" w:color="4F81BD" w:themeColor="accent1"/>
      </w:pBdr>
      <w:tabs>
        <w:tab w:val="left" w:pos="6525"/>
      </w:tabs>
      <w:spacing w:line="276" w:lineRule="aut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50" w:rsidRDefault="00F57E50" w:rsidP="00231AF8">
    <w:pPr>
      <w:pStyle w:val="Intestazione"/>
      <w:pBdr>
        <w:between w:val="single" w:sz="4" w:space="1" w:color="4F81BD" w:themeColor="accent1"/>
      </w:pBdr>
      <w:spacing w:line="276" w:lineRule="auto"/>
    </w:pPr>
    <w:r>
      <w:t>Sezione Operativa</w:t>
    </w:r>
  </w:p>
  <w:p w:rsidR="00F57E50" w:rsidRDefault="00F57E50" w:rsidP="00231AF8">
    <w:pPr>
      <w:pStyle w:val="Intestazione"/>
      <w:pBdr>
        <w:between w:val="single" w:sz="4" w:space="1" w:color="4F81BD" w:themeColor="accent1"/>
      </w:pBdr>
      <w:tabs>
        <w:tab w:val="left" w:pos="6525"/>
      </w:tabs>
      <w:spacing w:line="276"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B"/>
    <w:multiLevelType w:val="singleLevel"/>
    <w:tmpl w:val="0000000B"/>
    <w:name w:val="WW8Num12"/>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D"/>
    <w:multiLevelType w:val="singleLevel"/>
    <w:tmpl w:val="0000000D"/>
    <w:name w:val="WW8Num14"/>
    <w:lvl w:ilvl="0">
      <w:start w:val="1"/>
      <w:numFmt w:val="bullet"/>
      <w:lvlText w:val=""/>
      <w:lvlJc w:val="left"/>
      <w:pPr>
        <w:tabs>
          <w:tab w:val="num" w:pos="360"/>
        </w:tabs>
        <w:ind w:left="360" w:hanging="360"/>
      </w:pPr>
      <w:rPr>
        <w:rFonts w:ascii="Symbol" w:hAnsi="Symbol"/>
      </w:rPr>
    </w:lvl>
  </w:abstractNum>
  <w:abstractNum w:abstractNumId="4" w15:restartNumberingAfterBreak="0">
    <w:nsid w:val="06174B08"/>
    <w:multiLevelType w:val="hybridMultilevel"/>
    <w:tmpl w:val="DB24770E"/>
    <w:lvl w:ilvl="0" w:tplc="04100017">
      <w:start w:val="1"/>
      <w:numFmt w:val="lowerLetter"/>
      <w:lvlText w:val="%1)"/>
      <w:lvlJc w:val="left"/>
      <w:pPr>
        <w:ind w:left="1068"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D540ED"/>
    <w:multiLevelType w:val="hybridMultilevel"/>
    <w:tmpl w:val="62AE1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6263FD4"/>
    <w:multiLevelType w:val="hybridMultilevel"/>
    <w:tmpl w:val="3E5E16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00B6057"/>
    <w:multiLevelType w:val="hybridMultilevel"/>
    <w:tmpl w:val="4DCAD5FA"/>
    <w:lvl w:ilvl="0" w:tplc="BD10ABBA">
      <w:start w:val="1"/>
      <w:numFmt w:val="bullet"/>
      <w:lvlText w:val=""/>
      <w:lvlJc w:val="left"/>
      <w:pPr>
        <w:ind w:left="284" w:hanging="171"/>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62D2BAD"/>
    <w:multiLevelType w:val="multilevel"/>
    <w:tmpl w:val="B2F88B68"/>
    <w:lvl w:ilvl="0">
      <w:start w:val="1"/>
      <w:numFmt w:val="decimal"/>
      <w:pStyle w:val="Titolo1"/>
      <w:lvlText w:val="%1"/>
      <w:lvlJc w:val="left"/>
      <w:pPr>
        <w:ind w:left="432" w:hanging="432"/>
      </w:pPr>
    </w:lvl>
    <w:lvl w:ilvl="1">
      <w:start w:val="1"/>
      <w:numFmt w:val="decimal"/>
      <w:pStyle w:val="Titolo2"/>
      <w:lvlText w:val="%1.%2"/>
      <w:lvlJc w:val="left"/>
      <w:pPr>
        <w:ind w:left="1994" w:hanging="576"/>
      </w:pPr>
      <w:rPr>
        <w:color w:val="auto"/>
      </w:r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9" w15:restartNumberingAfterBreak="0">
    <w:nsid w:val="6C857AD6"/>
    <w:multiLevelType w:val="hybridMultilevel"/>
    <w:tmpl w:val="85DE3A10"/>
    <w:lvl w:ilvl="0" w:tplc="BD10ABBA">
      <w:start w:val="1"/>
      <w:numFmt w:val="bullet"/>
      <w:lvlText w:val=""/>
      <w:lvlJc w:val="left"/>
      <w:pPr>
        <w:ind w:left="284" w:hanging="171"/>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7"/>
  </w:num>
  <w:num w:numId="5">
    <w:abstractNumId w:val="5"/>
  </w:num>
  <w:num w:numId="6">
    <w:abstractNumId w:val="8"/>
    <w:lvlOverride w:ilvl="0">
      <w:startOverride w:val="2"/>
    </w:lvlOverride>
    <w:lvlOverride w:ilvl="1">
      <w:startOverride w:val="4"/>
    </w:lvlOverride>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11F"/>
    <w:rsid w:val="00000F27"/>
    <w:rsid w:val="00002732"/>
    <w:rsid w:val="000062AC"/>
    <w:rsid w:val="000062ED"/>
    <w:rsid w:val="000069BB"/>
    <w:rsid w:val="00007465"/>
    <w:rsid w:val="00007AA2"/>
    <w:rsid w:val="000107F4"/>
    <w:rsid w:val="000112F5"/>
    <w:rsid w:val="00011791"/>
    <w:rsid w:val="00011D30"/>
    <w:rsid w:val="00014A11"/>
    <w:rsid w:val="00016240"/>
    <w:rsid w:val="00016679"/>
    <w:rsid w:val="00016B76"/>
    <w:rsid w:val="00021787"/>
    <w:rsid w:val="0002189D"/>
    <w:rsid w:val="00022331"/>
    <w:rsid w:val="00022EEF"/>
    <w:rsid w:val="000239FD"/>
    <w:rsid w:val="00023B0A"/>
    <w:rsid w:val="00023FB4"/>
    <w:rsid w:val="00024906"/>
    <w:rsid w:val="00024A28"/>
    <w:rsid w:val="00024FCB"/>
    <w:rsid w:val="0002586F"/>
    <w:rsid w:val="00025B1D"/>
    <w:rsid w:val="0002673D"/>
    <w:rsid w:val="00026FE2"/>
    <w:rsid w:val="00027596"/>
    <w:rsid w:val="0002791C"/>
    <w:rsid w:val="000318E7"/>
    <w:rsid w:val="000324F1"/>
    <w:rsid w:val="00032B96"/>
    <w:rsid w:val="00035E29"/>
    <w:rsid w:val="00036441"/>
    <w:rsid w:val="00040A17"/>
    <w:rsid w:val="00041DBD"/>
    <w:rsid w:val="000446AD"/>
    <w:rsid w:val="00046F71"/>
    <w:rsid w:val="00050B98"/>
    <w:rsid w:val="00051E2C"/>
    <w:rsid w:val="00052166"/>
    <w:rsid w:val="00052466"/>
    <w:rsid w:val="0005360B"/>
    <w:rsid w:val="00053705"/>
    <w:rsid w:val="00057376"/>
    <w:rsid w:val="00057B25"/>
    <w:rsid w:val="00060218"/>
    <w:rsid w:val="00061D73"/>
    <w:rsid w:val="00063101"/>
    <w:rsid w:val="000635AA"/>
    <w:rsid w:val="0006603D"/>
    <w:rsid w:val="00066347"/>
    <w:rsid w:val="0006653B"/>
    <w:rsid w:val="00066B1A"/>
    <w:rsid w:val="000704E9"/>
    <w:rsid w:val="00071E02"/>
    <w:rsid w:val="00072092"/>
    <w:rsid w:val="00073DE4"/>
    <w:rsid w:val="00076410"/>
    <w:rsid w:val="00091AD2"/>
    <w:rsid w:val="000923A6"/>
    <w:rsid w:val="00092AE9"/>
    <w:rsid w:val="00093841"/>
    <w:rsid w:val="000942A8"/>
    <w:rsid w:val="00094DF3"/>
    <w:rsid w:val="000969A2"/>
    <w:rsid w:val="000970B0"/>
    <w:rsid w:val="000977C2"/>
    <w:rsid w:val="000A1FF0"/>
    <w:rsid w:val="000A301D"/>
    <w:rsid w:val="000A4DFE"/>
    <w:rsid w:val="000A549C"/>
    <w:rsid w:val="000A6712"/>
    <w:rsid w:val="000A686C"/>
    <w:rsid w:val="000A7292"/>
    <w:rsid w:val="000B1E3D"/>
    <w:rsid w:val="000B2C2A"/>
    <w:rsid w:val="000B346B"/>
    <w:rsid w:val="000B4CB4"/>
    <w:rsid w:val="000B56B5"/>
    <w:rsid w:val="000B5984"/>
    <w:rsid w:val="000B5FBB"/>
    <w:rsid w:val="000B65AB"/>
    <w:rsid w:val="000B6FBE"/>
    <w:rsid w:val="000C045F"/>
    <w:rsid w:val="000C3A95"/>
    <w:rsid w:val="000C3EA9"/>
    <w:rsid w:val="000C59BB"/>
    <w:rsid w:val="000C6197"/>
    <w:rsid w:val="000D11DA"/>
    <w:rsid w:val="000D190A"/>
    <w:rsid w:val="000D44B1"/>
    <w:rsid w:val="000D476F"/>
    <w:rsid w:val="000D4CB4"/>
    <w:rsid w:val="000D55AA"/>
    <w:rsid w:val="000D590E"/>
    <w:rsid w:val="000D5D9D"/>
    <w:rsid w:val="000E00D2"/>
    <w:rsid w:val="000E278B"/>
    <w:rsid w:val="000E3125"/>
    <w:rsid w:val="000E3BF2"/>
    <w:rsid w:val="000E6059"/>
    <w:rsid w:val="000E6640"/>
    <w:rsid w:val="000E6C70"/>
    <w:rsid w:val="000E7BB8"/>
    <w:rsid w:val="000F3888"/>
    <w:rsid w:val="000F3985"/>
    <w:rsid w:val="000F5341"/>
    <w:rsid w:val="000F5FD4"/>
    <w:rsid w:val="000F6120"/>
    <w:rsid w:val="000F7E5D"/>
    <w:rsid w:val="00100DCD"/>
    <w:rsid w:val="00101092"/>
    <w:rsid w:val="00101FD1"/>
    <w:rsid w:val="00103594"/>
    <w:rsid w:val="0010525E"/>
    <w:rsid w:val="0010707E"/>
    <w:rsid w:val="001101A1"/>
    <w:rsid w:val="00110307"/>
    <w:rsid w:val="00111E7D"/>
    <w:rsid w:val="00115B9E"/>
    <w:rsid w:val="001175D8"/>
    <w:rsid w:val="00121FEE"/>
    <w:rsid w:val="001223AC"/>
    <w:rsid w:val="00122FFC"/>
    <w:rsid w:val="00123CC4"/>
    <w:rsid w:val="00126A99"/>
    <w:rsid w:val="00127315"/>
    <w:rsid w:val="00130769"/>
    <w:rsid w:val="00130C70"/>
    <w:rsid w:val="0013253B"/>
    <w:rsid w:val="001326DA"/>
    <w:rsid w:val="00132F04"/>
    <w:rsid w:val="00133951"/>
    <w:rsid w:val="001379BF"/>
    <w:rsid w:val="00140211"/>
    <w:rsid w:val="00141063"/>
    <w:rsid w:val="001428E9"/>
    <w:rsid w:val="001443D1"/>
    <w:rsid w:val="00155E92"/>
    <w:rsid w:val="00155F74"/>
    <w:rsid w:val="0015715C"/>
    <w:rsid w:val="00161A77"/>
    <w:rsid w:val="00161E7C"/>
    <w:rsid w:val="001621D1"/>
    <w:rsid w:val="001652F8"/>
    <w:rsid w:val="0016554D"/>
    <w:rsid w:val="00167E66"/>
    <w:rsid w:val="00170A8B"/>
    <w:rsid w:val="00172F99"/>
    <w:rsid w:val="001755A0"/>
    <w:rsid w:val="00183DB7"/>
    <w:rsid w:val="001844E8"/>
    <w:rsid w:val="001864F2"/>
    <w:rsid w:val="001869B6"/>
    <w:rsid w:val="0018707F"/>
    <w:rsid w:val="001903F4"/>
    <w:rsid w:val="00190F22"/>
    <w:rsid w:val="001914C8"/>
    <w:rsid w:val="001914D8"/>
    <w:rsid w:val="001968FF"/>
    <w:rsid w:val="001A0145"/>
    <w:rsid w:val="001A03FF"/>
    <w:rsid w:val="001A0D08"/>
    <w:rsid w:val="001A28DE"/>
    <w:rsid w:val="001A3553"/>
    <w:rsid w:val="001A440C"/>
    <w:rsid w:val="001A4739"/>
    <w:rsid w:val="001A4A3A"/>
    <w:rsid w:val="001A5484"/>
    <w:rsid w:val="001B0688"/>
    <w:rsid w:val="001B12C8"/>
    <w:rsid w:val="001B33AC"/>
    <w:rsid w:val="001B407E"/>
    <w:rsid w:val="001B5819"/>
    <w:rsid w:val="001B6C50"/>
    <w:rsid w:val="001C0FC1"/>
    <w:rsid w:val="001C214A"/>
    <w:rsid w:val="001C26F5"/>
    <w:rsid w:val="001C4839"/>
    <w:rsid w:val="001C4B3B"/>
    <w:rsid w:val="001C593E"/>
    <w:rsid w:val="001C5E11"/>
    <w:rsid w:val="001C625D"/>
    <w:rsid w:val="001C6A27"/>
    <w:rsid w:val="001C6B87"/>
    <w:rsid w:val="001C6CBF"/>
    <w:rsid w:val="001D05C5"/>
    <w:rsid w:val="001D26CA"/>
    <w:rsid w:val="001D2759"/>
    <w:rsid w:val="001D3F39"/>
    <w:rsid w:val="001D3FCE"/>
    <w:rsid w:val="001D4783"/>
    <w:rsid w:val="001D4F11"/>
    <w:rsid w:val="001D57FE"/>
    <w:rsid w:val="001E0EBB"/>
    <w:rsid w:val="001E3898"/>
    <w:rsid w:val="001E6357"/>
    <w:rsid w:val="001E7BB2"/>
    <w:rsid w:val="001F0A7E"/>
    <w:rsid w:val="001F1DD9"/>
    <w:rsid w:val="001F2CC2"/>
    <w:rsid w:val="001F590D"/>
    <w:rsid w:val="001F5CFE"/>
    <w:rsid w:val="001F65E2"/>
    <w:rsid w:val="002004FD"/>
    <w:rsid w:val="00201265"/>
    <w:rsid w:val="00201805"/>
    <w:rsid w:val="0020180C"/>
    <w:rsid w:val="00201FF3"/>
    <w:rsid w:val="00203F81"/>
    <w:rsid w:val="00206131"/>
    <w:rsid w:val="00206D72"/>
    <w:rsid w:val="0020758E"/>
    <w:rsid w:val="0020782A"/>
    <w:rsid w:val="00207C4A"/>
    <w:rsid w:val="00207E50"/>
    <w:rsid w:val="00210F34"/>
    <w:rsid w:val="00213AF9"/>
    <w:rsid w:val="002173AB"/>
    <w:rsid w:val="00220606"/>
    <w:rsid w:val="002227F8"/>
    <w:rsid w:val="002239ED"/>
    <w:rsid w:val="00225D69"/>
    <w:rsid w:val="0023002F"/>
    <w:rsid w:val="00231AF8"/>
    <w:rsid w:val="00232BBE"/>
    <w:rsid w:val="00235B49"/>
    <w:rsid w:val="00236214"/>
    <w:rsid w:val="0023681C"/>
    <w:rsid w:val="002372CC"/>
    <w:rsid w:val="002430DF"/>
    <w:rsid w:val="0024371B"/>
    <w:rsid w:val="0024616E"/>
    <w:rsid w:val="002464A0"/>
    <w:rsid w:val="002468F2"/>
    <w:rsid w:val="00246F33"/>
    <w:rsid w:val="0025001E"/>
    <w:rsid w:val="00250D35"/>
    <w:rsid w:val="00250D57"/>
    <w:rsid w:val="00251107"/>
    <w:rsid w:val="00252AFE"/>
    <w:rsid w:val="00252D5F"/>
    <w:rsid w:val="0025595A"/>
    <w:rsid w:val="0025600C"/>
    <w:rsid w:val="0025653C"/>
    <w:rsid w:val="0026014D"/>
    <w:rsid w:val="0026023D"/>
    <w:rsid w:val="00261D0B"/>
    <w:rsid w:val="00261DC7"/>
    <w:rsid w:val="0026309D"/>
    <w:rsid w:val="00263385"/>
    <w:rsid w:val="002670EA"/>
    <w:rsid w:val="00267455"/>
    <w:rsid w:val="00267CF5"/>
    <w:rsid w:val="0027669C"/>
    <w:rsid w:val="00276C32"/>
    <w:rsid w:val="002773B3"/>
    <w:rsid w:val="002777DA"/>
    <w:rsid w:val="00277893"/>
    <w:rsid w:val="00285B5E"/>
    <w:rsid w:val="002879B7"/>
    <w:rsid w:val="002927DE"/>
    <w:rsid w:val="00292E1C"/>
    <w:rsid w:val="002938A6"/>
    <w:rsid w:val="00293DBE"/>
    <w:rsid w:val="00295319"/>
    <w:rsid w:val="00295787"/>
    <w:rsid w:val="00295AA5"/>
    <w:rsid w:val="00295D4A"/>
    <w:rsid w:val="00296045"/>
    <w:rsid w:val="00297D50"/>
    <w:rsid w:val="002A03FC"/>
    <w:rsid w:val="002A0A45"/>
    <w:rsid w:val="002A3E74"/>
    <w:rsid w:val="002A4304"/>
    <w:rsid w:val="002A505D"/>
    <w:rsid w:val="002A5D91"/>
    <w:rsid w:val="002A7763"/>
    <w:rsid w:val="002B50F2"/>
    <w:rsid w:val="002B56E1"/>
    <w:rsid w:val="002B6243"/>
    <w:rsid w:val="002B7CD1"/>
    <w:rsid w:val="002C19F2"/>
    <w:rsid w:val="002C2804"/>
    <w:rsid w:val="002C3FB9"/>
    <w:rsid w:val="002C51A6"/>
    <w:rsid w:val="002C6B0E"/>
    <w:rsid w:val="002C6D01"/>
    <w:rsid w:val="002C7984"/>
    <w:rsid w:val="002D06C9"/>
    <w:rsid w:val="002D1512"/>
    <w:rsid w:val="002D5C4B"/>
    <w:rsid w:val="002D5F0D"/>
    <w:rsid w:val="002D63BF"/>
    <w:rsid w:val="002D6CD0"/>
    <w:rsid w:val="002D7296"/>
    <w:rsid w:val="002D729F"/>
    <w:rsid w:val="002D7CD9"/>
    <w:rsid w:val="002E1F7F"/>
    <w:rsid w:val="002E3345"/>
    <w:rsid w:val="002E4029"/>
    <w:rsid w:val="002E409C"/>
    <w:rsid w:val="002E5E3C"/>
    <w:rsid w:val="002E5E7C"/>
    <w:rsid w:val="002E60E4"/>
    <w:rsid w:val="002F21B0"/>
    <w:rsid w:val="002F5F27"/>
    <w:rsid w:val="002F67E2"/>
    <w:rsid w:val="002F6D71"/>
    <w:rsid w:val="002F7C48"/>
    <w:rsid w:val="00301940"/>
    <w:rsid w:val="00303536"/>
    <w:rsid w:val="00303C8A"/>
    <w:rsid w:val="00312C0E"/>
    <w:rsid w:val="0031494B"/>
    <w:rsid w:val="00314E5B"/>
    <w:rsid w:val="00316045"/>
    <w:rsid w:val="00320EC2"/>
    <w:rsid w:val="00323EFF"/>
    <w:rsid w:val="00324B83"/>
    <w:rsid w:val="00325FB8"/>
    <w:rsid w:val="003260EF"/>
    <w:rsid w:val="00330664"/>
    <w:rsid w:val="00330A9D"/>
    <w:rsid w:val="00331F27"/>
    <w:rsid w:val="003329EC"/>
    <w:rsid w:val="00332EBD"/>
    <w:rsid w:val="003339A8"/>
    <w:rsid w:val="003346CB"/>
    <w:rsid w:val="003349FB"/>
    <w:rsid w:val="00334CA2"/>
    <w:rsid w:val="00334F49"/>
    <w:rsid w:val="0033532E"/>
    <w:rsid w:val="00335BEC"/>
    <w:rsid w:val="00336C71"/>
    <w:rsid w:val="00337282"/>
    <w:rsid w:val="00340CEF"/>
    <w:rsid w:val="003415FB"/>
    <w:rsid w:val="00342997"/>
    <w:rsid w:val="00344747"/>
    <w:rsid w:val="00344B64"/>
    <w:rsid w:val="00344DE4"/>
    <w:rsid w:val="00345E58"/>
    <w:rsid w:val="0035186E"/>
    <w:rsid w:val="00352674"/>
    <w:rsid w:val="0035514B"/>
    <w:rsid w:val="0035609F"/>
    <w:rsid w:val="00360947"/>
    <w:rsid w:val="00360D38"/>
    <w:rsid w:val="003632D5"/>
    <w:rsid w:val="00363BF7"/>
    <w:rsid w:val="0036442D"/>
    <w:rsid w:val="003649CA"/>
    <w:rsid w:val="00364AB4"/>
    <w:rsid w:val="00365074"/>
    <w:rsid w:val="00366E3D"/>
    <w:rsid w:val="00370467"/>
    <w:rsid w:val="00370F41"/>
    <w:rsid w:val="00372D79"/>
    <w:rsid w:val="00373975"/>
    <w:rsid w:val="00374FE2"/>
    <w:rsid w:val="0037756E"/>
    <w:rsid w:val="00380DE3"/>
    <w:rsid w:val="00380EEF"/>
    <w:rsid w:val="00381EB1"/>
    <w:rsid w:val="00382722"/>
    <w:rsid w:val="003838CE"/>
    <w:rsid w:val="00383D87"/>
    <w:rsid w:val="003909B1"/>
    <w:rsid w:val="00391334"/>
    <w:rsid w:val="003939BB"/>
    <w:rsid w:val="00393F11"/>
    <w:rsid w:val="003954FA"/>
    <w:rsid w:val="00395761"/>
    <w:rsid w:val="00397559"/>
    <w:rsid w:val="0039794A"/>
    <w:rsid w:val="003A1F35"/>
    <w:rsid w:val="003A34B5"/>
    <w:rsid w:val="003A434D"/>
    <w:rsid w:val="003A49F2"/>
    <w:rsid w:val="003A5D3E"/>
    <w:rsid w:val="003A6849"/>
    <w:rsid w:val="003A68A4"/>
    <w:rsid w:val="003A75B5"/>
    <w:rsid w:val="003B0383"/>
    <w:rsid w:val="003B554C"/>
    <w:rsid w:val="003B7FC7"/>
    <w:rsid w:val="003C1095"/>
    <w:rsid w:val="003C264D"/>
    <w:rsid w:val="003C2740"/>
    <w:rsid w:val="003C2EDA"/>
    <w:rsid w:val="003C4DC7"/>
    <w:rsid w:val="003C4EC4"/>
    <w:rsid w:val="003D0E25"/>
    <w:rsid w:val="003D3C3C"/>
    <w:rsid w:val="003D47A9"/>
    <w:rsid w:val="003D4AE3"/>
    <w:rsid w:val="003D5B4D"/>
    <w:rsid w:val="003D6889"/>
    <w:rsid w:val="003D71D5"/>
    <w:rsid w:val="003E3BEB"/>
    <w:rsid w:val="003E4421"/>
    <w:rsid w:val="003E6E2C"/>
    <w:rsid w:val="003E7DA2"/>
    <w:rsid w:val="003F13F8"/>
    <w:rsid w:val="003F1813"/>
    <w:rsid w:val="003F27AF"/>
    <w:rsid w:val="003F3575"/>
    <w:rsid w:val="00400916"/>
    <w:rsid w:val="004037B8"/>
    <w:rsid w:val="00405869"/>
    <w:rsid w:val="00407B4C"/>
    <w:rsid w:val="00410932"/>
    <w:rsid w:val="00411573"/>
    <w:rsid w:val="0041195A"/>
    <w:rsid w:val="00411F41"/>
    <w:rsid w:val="00412CE5"/>
    <w:rsid w:val="00414575"/>
    <w:rsid w:val="00414CAB"/>
    <w:rsid w:val="004158B0"/>
    <w:rsid w:val="00416066"/>
    <w:rsid w:val="0041698B"/>
    <w:rsid w:val="004170A6"/>
    <w:rsid w:val="004176F4"/>
    <w:rsid w:val="00421152"/>
    <w:rsid w:val="004219FD"/>
    <w:rsid w:val="00423066"/>
    <w:rsid w:val="00424B34"/>
    <w:rsid w:val="00425277"/>
    <w:rsid w:val="00425445"/>
    <w:rsid w:val="00425F25"/>
    <w:rsid w:val="00426E46"/>
    <w:rsid w:val="004300F9"/>
    <w:rsid w:val="004306A9"/>
    <w:rsid w:val="00430896"/>
    <w:rsid w:val="00434BB0"/>
    <w:rsid w:val="0043539F"/>
    <w:rsid w:val="004363B9"/>
    <w:rsid w:val="0044105A"/>
    <w:rsid w:val="00441073"/>
    <w:rsid w:val="004415CF"/>
    <w:rsid w:val="004434BB"/>
    <w:rsid w:val="00443E92"/>
    <w:rsid w:val="00443FD4"/>
    <w:rsid w:val="004471B8"/>
    <w:rsid w:val="004501F5"/>
    <w:rsid w:val="004511C5"/>
    <w:rsid w:val="00453FEA"/>
    <w:rsid w:val="00455779"/>
    <w:rsid w:val="00456201"/>
    <w:rsid w:val="0045645C"/>
    <w:rsid w:val="00457628"/>
    <w:rsid w:val="0046213D"/>
    <w:rsid w:val="0046661E"/>
    <w:rsid w:val="00466E57"/>
    <w:rsid w:val="00467BFE"/>
    <w:rsid w:val="004718B1"/>
    <w:rsid w:val="004760DF"/>
    <w:rsid w:val="00476BC5"/>
    <w:rsid w:val="00477683"/>
    <w:rsid w:val="00477755"/>
    <w:rsid w:val="00482F7B"/>
    <w:rsid w:val="004845AA"/>
    <w:rsid w:val="00485493"/>
    <w:rsid w:val="00487552"/>
    <w:rsid w:val="00490C63"/>
    <w:rsid w:val="0049161A"/>
    <w:rsid w:val="00493F5A"/>
    <w:rsid w:val="00494049"/>
    <w:rsid w:val="00495111"/>
    <w:rsid w:val="00496139"/>
    <w:rsid w:val="00497080"/>
    <w:rsid w:val="004978A2"/>
    <w:rsid w:val="004A0F78"/>
    <w:rsid w:val="004A2390"/>
    <w:rsid w:val="004A2A9C"/>
    <w:rsid w:val="004A2DDB"/>
    <w:rsid w:val="004A36FA"/>
    <w:rsid w:val="004A53AD"/>
    <w:rsid w:val="004A764C"/>
    <w:rsid w:val="004A76BE"/>
    <w:rsid w:val="004A7DAD"/>
    <w:rsid w:val="004B100F"/>
    <w:rsid w:val="004B245D"/>
    <w:rsid w:val="004B31ED"/>
    <w:rsid w:val="004B36A2"/>
    <w:rsid w:val="004B36FA"/>
    <w:rsid w:val="004B5C77"/>
    <w:rsid w:val="004B71A2"/>
    <w:rsid w:val="004B793F"/>
    <w:rsid w:val="004C0EC5"/>
    <w:rsid w:val="004C24B2"/>
    <w:rsid w:val="004C2D6C"/>
    <w:rsid w:val="004C3D44"/>
    <w:rsid w:val="004C5F16"/>
    <w:rsid w:val="004C5FE6"/>
    <w:rsid w:val="004C6805"/>
    <w:rsid w:val="004C6883"/>
    <w:rsid w:val="004C6AE6"/>
    <w:rsid w:val="004D21BC"/>
    <w:rsid w:val="004D3860"/>
    <w:rsid w:val="004D3C7F"/>
    <w:rsid w:val="004D4B57"/>
    <w:rsid w:val="004D74DC"/>
    <w:rsid w:val="004E0149"/>
    <w:rsid w:val="004E1D8D"/>
    <w:rsid w:val="004E3E95"/>
    <w:rsid w:val="004E42A0"/>
    <w:rsid w:val="004E62D0"/>
    <w:rsid w:val="004E7DD7"/>
    <w:rsid w:val="004E7F07"/>
    <w:rsid w:val="004F09E8"/>
    <w:rsid w:val="004F1C5A"/>
    <w:rsid w:val="004F3FEB"/>
    <w:rsid w:val="004F4966"/>
    <w:rsid w:val="004F627C"/>
    <w:rsid w:val="004F64A2"/>
    <w:rsid w:val="004F69E0"/>
    <w:rsid w:val="00500245"/>
    <w:rsid w:val="00501BEB"/>
    <w:rsid w:val="00502340"/>
    <w:rsid w:val="00503E96"/>
    <w:rsid w:val="005042A4"/>
    <w:rsid w:val="00504A96"/>
    <w:rsid w:val="00504FCC"/>
    <w:rsid w:val="00505494"/>
    <w:rsid w:val="005069E4"/>
    <w:rsid w:val="0051044B"/>
    <w:rsid w:val="00510C4A"/>
    <w:rsid w:val="00510E6F"/>
    <w:rsid w:val="00511E5B"/>
    <w:rsid w:val="005131D9"/>
    <w:rsid w:val="0051351E"/>
    <w:rsid w:val="005152B7"/>
    <w:rsid w:val="005154ED"/>
    <w:rsid w:val="00516B0C"/>
    <w:rsid w:val="00517B9C"/>
    <w:rsid w:val="00520E33"/>
    <w:rsid w:val="005221F6"/>
    <w:rsid w:val="00522D4C"/>
    <w:rsid w:val="00522E4F"/>
    <w:rsid w:val="00524AF3"/>
    <w:rsid w:val="00524E0A"/>
    <w:rsid w:val="005254C4"/>
    <w:rsid w:val="005258E7"/>
    <w:rsid w:val="005265FC"/>
    <w:rsid w:val="005270C8"/>
    <w:rsid w:val="00534E85"/>
    <w:rsid w:val="005355A8"/>
    <w:rsid w:val="00537B5B"/>
    <w:rsid w:val="00537CBF"/>
    <w:rsid w:val="00540105"/>
    <w:rsid w:val="005425FE"/>
    <w:rsid w:val="00542C10"/>
    <w:rsid w:val="005440B1"/>
    <w:rsid w:val="00544918"/>
    <w:rsid w:val="005468B9"/>
    <w:rsid w:val="0054757A"/>
    <w:rsid w:val="00547855"/>
    <w:rsid w:val="00551823"/>
    <w:rsid w:val="00551F51"/>
    <w:rsid w:val="00551FCC"/>
    <w:rsid w:val="0055202D"/>
    <w:rsid w:val="00552712"/>
    <w:rsid w:val="0055280D"/>
    <w:rsid w:val="005540B0"/>
    <w:rsid w:val="00554810"/>
    <w:rsid w:val="00556DB0"/>
    <w:rsid w:val="0055785A"/>
    <w:rsid w:val="005603E6"/>
    <w:rsid w:val="00561188"/>
    <w:rsid w:val="00563B65"/>
    <w:rsid w:val="00563CDC"/>
    <w:rsid w:val="00565BB3"/>
    <w:rsid w:val="005713F7"/>
    <w:rsid w:val="005743D7"/>
    <w:rsid w:val="005746AA"/>
    <w:rsid w:val="005749F1"/>
    <w:rsid w:val="0057767F"/>
    <w:rsid w:val="0058210D"/>
    <w:rsid w:val="00583356"/>
    <w:rsid w:val="00583ADD"/>
    <w:rsid w:val="00584DEB"/>
    <w:rsid w:val="00585147"/>
    <w:rsid w:val="0058641B"/>
    <w:rsid w:val="00587B6C"/>
    <w:rsid w:val="00592006"/>
    <w:rsid w:val="00594374"/>
    <w:rsid w:val="005945E9"/>
    <w:rsid w:val="00594714"/>
    <w:rsid w:val="00594F42"/>
    <w:rsid w:val="00597BD0"/>
    <w:rsid w:val="005A036A"/>
    <w:rsid w:val="005A1B95"/>
    <w:rsid w:val="005A233B"/>
    <w:rsid w:val="005A2AE4"/>
    <w:rsid w:val="005A5C3B"/>
    <w:rsid w:val="005A66FD"/>
    <w:rsid w:val="005B064F"/>
    <w:rsid w:val="005B07E6"/>
    <w:rsid w:val="005B0B7C"/>
    <w:rsid w:val="005B0C2F"/>
    <w:rsid w:val="005B2A3A"/>
    <w:rsid w:val="005B2E14"/>
    <w:rsid w:val="005B309A"/>
    <w:rsid w:val="005B484C"/>
    <w:rsid w:val="005B734E"/>
    <w:rsid w:val="005B7CC1"/>
    <w:rsid w:val="005B7ED2"/>
    <w:rsid w:val="005C081D"/>
    <w:rsid w:val="005C1580"/>
    <w:rsid w:val="005C4652"/>
    <w:rsid w:val="005C49BD"/>
    <w:rsid w:val="005C638C"/>
    <w:rsid w:val="005C72C4"/>
    <w:rsid w:val="005D0F1B"/>
    <w:rsid w:val="005D19B7"/>
    <w:rsid w:val="005D1CFE"/>
    <w:rsid w:val="005D246F"/>
    <w:rsid w:val="005D37B0"/>
    <w:rsid w:val="005D5DFD"/>
    <w:rsid w:val="005D73FB"/>
    <w:rsid w:val="005D7403"/>
    <w:rsid w:val="005E05FF"/>
    <w:rsid w:val="005E18C2"/>
    <w:rsid w:val="005E1B51"/>
    <w:rsid w:val="005E227C"/>
    <w:rsid w:val="005E2640"/>
    <w:rsid w:val="005E34D5"/>
    <w:rsid w:val="005E4568"/>
    <w:rsid w:val="005E4E83"/>
    <w:rsid w:val="005E60C8"/>
    <w:rsid w:val="005E66D6"/>
    <w:rsid w:val="005E7825"/>
    <w:rsid w:val="005F041A"/>
    <w:rsid w:val="005F10A9"/>
    <w:rsid w:val="005F17B4"/>
    <w:rsid w:val="005F17CF"/>
    <w:rsid w:val="005F3F46"/>
    <w:rsid w:val="005F6CE0"/>
    <w:rsid w:val="005F73E0"/>
    <w:rsid w:val="00604039"/>
    <w:rsid w:val="006061D9"/>
    <w:rsid w:val="00606E0D"/>
    <w:rsid w:val="00607051"/>
    <w:rsid w:val="006105E5"/>
    <w:rsid w:val="00610C06"/>
    <w:rsid w:val="00615344"/>
    <w:rsid w:val="00615345"/>
    <w:rsid w:val="00615E3D"/>
    <w:rsid w:val="0061694F"/>
    <w:rsid w:val="00617045"/>
    <w:rsid w:val="00617903"/>
    <w:rsid w:val="006218A5"/>
    <w:rsid w:val="00625A02"/>
    <w:rsid w:val="0062726C"/>
    <w:rsid w:val="006277D1"/>
    <w:rsid w:val="00627E0B"/>
    <w:rsid w:val="00633D52"/>
    <w:rsid w:val="006368D8"/>
    <w:rsid w:val="00640949"/>
    <w:rsid w:val="006413B3"/>
    <w:rsid w:val="0064268B"/>
    <w:rsid w:val="0064285F"/>
    <w:rsid w:val="00643273"/>
    <w:rsid w:val="006432A4"/>
    <w:rsid w:val="00643E5F"/>
    <w:rsid w:val="006441A7"/>
    <w:rsid w:val="006449B8"/>
    <w:rsid w:val="00645061"/>
    <w:rsid w:val="00645296"/>
    <w:rsid w:val="0064578E"/>
    <w:rsid w:val="00645C86"/>
    <w:rsid w:val="0064678E"/>
    <w:rsid w:val="00646ABB"/>
    <w:rsid w:val="00646BD6"/>
    <w:rsid w:val="00646C43"/>
    <w:rsid w:val="00647EF1"/>
    <w:rsid w:val="00650A17"/>
    <w:rsid w:val="00650EA3"/>
    <w:rsid w:val="006520A0"/>
    <w:rsid w:val="00652AF1"/>
    <w:rsid w:val="00652F25"/>
    <w:rsid w:val="00653922"/>
    <w:rsid w:val="00654850"/>
    <w:rsid w:val="00655ADB"/>
    <w:rsid w:val="00661BF7"/>
    <w:rsid w:val="00661F3C"/>
    <w:rsid w:val="0066262B"/>
    <w:rsid w:val="0066286A"/>
    <w:rsid w:val="006643FB"/>
    <w:rsid w:val="006655C9"/>
    <w:rsid w:val="0066659D"/>
    <w:rsid w:val="00671631"/>
    <w:rsid w:val="006739D9"/>
    <w:rsid w:val="006748CF"/>
    <w:rsid w:val="0067546D"/>
    <w:rsid w:val="00675E15"/>
    <w:rsid w:val="00676873"/>
    <w:rsid w:val="00680947"/>
    <w:rsid w:val="0068722F"/>
    <w:rsid w:val="00690B62"/>
    <w:rsid w:val="0069146E"/>
    <w:rsid w:val="00694014"/>
    <w:rsid w:val="006946C3"/>
    <w:rsid w:val="00694F43"/>
    <w:rsid w:val="006952B0"/>
    <w:rsid w:val="0069727A"/>
    <w:rsid w:val="006A0A38"/>
    <w:rsid w:val="006A194C"/>
    <w:rsid w:val="006A1E9C"/>
    <w:rsid w:val="006A2140"/>
    <w:rsid w:val="006A22E8"/>
    <w:rsid w:val="006A329A"/>
    <w:rsid w:val="006A504F"/>
    <w:rsid w:val="006A656B"/>
    <w:rsid w:val="006A6882"/>
    <w:rsid w:val="006A749E"/>
    <w:rsid w:val="006B0D51"/>
    <w:rsid w:val="006B1952"/>
    <w:rsid w:val="006B3936"/>
    <w:rsid w:val="006B4084"/>
    <w:rsid w:val="006B4AFA"/>
    <w:rsid w:val="006B4BA8"/>
    <w:rsid w:val="006B4BBC"/>
    <w:rsid w:val="006B5F8C"/>
    <w:rsid w:val="006B77EC"/>
    <w:rsid w:val="006C0073"/>
    <w:rsid w:val="006C0B38"/>
    <w:rsid w:val="006C44A6"/>
    <w:rsid w:val="006C4936"/>
    <w:rsid w:val="006C4B6F"/>
    <w:rsid w:val="006C4DE7"/>
    <w:rsid w:val="006C768F"/>
    <w:rsid w:val="006D1153"/>
    <w:rsid w:val="006D2A2B"/>
    <w:rsid w:val="006D38B8"/>
    <w:rsid w:val="006D39C3"/>
    <w:rsid w:val="006D39C9"/>
    <w:rsid w:val="006D3BC6"/>
    <w:rsid w:val="006D51EC"/>
    <w:rsid w:val="006D650C"/>
    <w:rsid w:val="006D6600"/>
    <w:rsid w:val="006D7168"/>
    <w:rsid w:val="006D71D6"/>
    <w:rsid w:val="006E0C82"/>
    <w:rsid w:val="006E1629"/>
    <w:rsid w:val="006E4661"/>
    <w:rsid w:val="006E5B4D"/>
    <w:rsid w:val="006E603B"/>
    <w:rsid w:val="006E630A"/>
    <w:rsid w:val="006E7393"/>
    <w:rsid w:val="006E77A3"/>
    <w:rsid w:val="006F1494"/>
    <w:rsid w:val="006F2145"/>
    <w:rsid w:val="006F22FB"/>
    <w:rsid w:val="006F327A"/>
    <w:rsid w:val="006F388A"/>
    <w:rsid w:val="006F394C"/>
    <w:rsid w:val="006F52D7"/>
    <w:rsid w:val="006F6CFE"/>
    <w:rsid w:val="00700338"/>
    <w:rsid w:val="007006DA"/>
    <w:rsid w:val="00701503"/>
    <w:rsid w:val="00701964"/>
    <w:rsid w:val="007022DD"/>
    <w:rsid w:val="007038D2"/>
    <w:rsid w:val="0070527B"/>
    <w:rsid w:val="0070541E"/>
    <w:rsid w:val="00705AC7"/>
    <w:rsid w:val="007074D6"/>
    <w:rsid w:val="0071025E"/>
    <w:rsid w:val="007106F7"/>
    <w:rsid w:val="00711FE6"/>
    <w:rsid w:val="0071288C"/>
    <w:rsid w:val="00713CFB"/>
    <w:rsid w:val="007142BF"/>
    <w:rsid w:val="00714F4A"/>
    <w:rsid w:val="00715C97"/>
    <w:rsid w:val="00716175"/>
    <w:rsid w:val="007238FA"/>
    <w:rsid w:val="00723DEC"/>
    <w:rsid w:val="00724D88"/>
    <w:rsid w:val="00725DA4"/>
    <w:rsid w:val="0073284C"/>
    <w:rsid w:val="00732BD5"/>
    <w:rsid w:val="00732C01"/>
    <w:rsid w:val="007349FA"/>
    <w:rsid w:val="00734E7A"/>
    <w:rsid w:val="0073629A"/>
    <w:rsid w:val="00737E07"/>
    <w:rsid w:val="007421DC"/>
    <w:rsid w:val="007424F3"/>
    <w:rsid w:val="007428B1"/>
    <w:rsid w:val="00743BBC"/>
    <w:rsid w:val="00744824"/>
    <w:rsid w:val="0074703A"/>
    <w:rsid w:val="0074747E"/>
    <w:rsid w:val="00750963"/>
    <w:rsid w:val="00750B82"/>
    <w:rsid w:val="00753C03"/>
    <w:rsid w:val="00757557"/>
    <w:rsid w:val="007603A5"/>
    <w:rsid w:val="00760A66"/>
    <w:rsid w:val="00761223"/>
    <w:rsid w:val="00762FA8"/>
    <w:rsid w:val="0076321A"/>
    <w:rsid w:val="00764347"/>
    <w:rsid w:val="007653DC"/>
    <w:rsid w:val="007665BF"/>
    <w:rsid w:val="00766EFE"/>
    <w:rsid w:val="00767B05"/>
    <w:rsid w:val="00770FA5"/>
    <w:rsid w:val="00772ACB"/>
    <w:rsid w:val="007732B7"/>
    <w:rsid w:val="007732D3"/>
    <w:rsid w:val="00773351"/>
    <w:rsid w:val="00780933"/>
    <w:rsid w:val="00781072"/>
    <w:rsid w:val="007857E9"/>
    <w:rsid w:val="00785FA7"/>
    <w:rsid w:val="0079279D"/>
    <w:rsid w:val="00792A35"/>
    <w:rsid w:val="00793F10"/>
    <w:rsid w:val="007976BB"/>
    <w:rsid w:val="007A0356"/>
    <w:rsid w:val="007A10EE"/>
    <w:rsid w:val="007A21FF"/>
    <w:rsid w:val="007A298F"/>
    <w:rsid w:val="007A37A9"/>
    <w:rsid w:val="007A4882"/>
    <w:rsid w:val="007A4F0B"/>
    <w:rsid w:val="007B11E9"/>
    <w:rsid w:val="007B411D"/>
    <w:rsid w:val="007B4EFB"/>
    <w:rsid w:val="007B64A8"/>
    <w:rsid w:val="007B7FB8"/>
    <w:rsid w:val="007C0408"/>
    <w:rsid w:val="007C0A66"/>
    <w:rsid w:val="007C507F"/>
    <w:rsid w:val="007C7288"/>
    <w:rsid w:val="007C7805"/>
    <w:rsid w:val="007C7A4A"/>
    <w:rsid w:val="007D0E34"/>
    <w:rsid w:val="007D12F1"/>
    <w:rsid w:val="007D2D8E"/>
    <w:rsid w:val="007D47D0"/>
    <w:rsid w:val="007D4BE2"/>
    <w:rsid w:val="007D53A5"/>
    <w:rsid w:val="007D6BA3"/>
    <w:rsid w:val="007D70A2"/>
    <w:rsid w:val="007E3917"/>
    <w:rsid w:val="007E3E58"/>
    <w:rsid w:val="007E40F4"/>
    <w:rsid w:val="007E4398"/>
    <w:rsid w:val="007E53CC"/>
    <w:rsid w:val="007E728B"/>
    <w:rsid w:val="007E7B4B"/>
    <w:rsid w:val="007F1026"/>
    <w:rsid w:val="007F2F57"/>
    <w:rsid w:val="007F56F2"/>
    <w:rsid w:val="007F615D"/>
    <w:rsid w:val="007F71C3"/>
    <w:rsid w:val="00802302"/>
    <w:rsid w:val="00802D93"/>
    <w:rsid w:val="00803879"/>
    <w:rsid w:val="0080437E"/>
    <w:rsid w:val="00805B4B"/>
    <w:rsid w:val="00810D91"/>
    <w:rsid w:val="00812FAF"/>
    <w:rsid w:val="00814F1E"/>
    <w:rsid w:val="0081606D"/>
    <w:rsid w:val="008168C6"/>
    <w:rsid w:val="00816AF2"/>
    <w:rsid w:val="0081783D"/>
    <w:rsid w:val="008211E8"/>
    <w:rsid w:val="00824EDB"/>
    <w:rsid w:val="00827945"/>
    <w:rsid w:val="00827DD3"/>
    <w:rsid w:val="0083155C"/>
    <w:rsid w:val="00831BFC"/>
    <w:rsid w:val="00833F34"/>
    <w:rsid w:val="008351F4"/>
    <w:rsid w:val="00836CE9"/>
    <w:rsid w:val="008377D5"/>
    <w:rsid w:val="00837CF5"/>
    <w:rsid w:val="00837DA9"/>
    <w:rsid w:val="00840CEC"/>
    <w:rsid w:val="00841A39"/>
    <w:rsid w:val="00841C53"/>
    <w:rsid w:val="00842034"/>
    <w:rsid w:val="00842D48"/>
    <w:rsid w:val="00845D9A"/>
    <w:rsid w:val="00846E9B"/>
    <w:rsid w:val="0084711C"/>
    <w:rsid w:val="00847EFB"/>
    <w:rsid w:val="00850A97"/>
    <w:rsid w:val="00850F13"/>
    <w:rsid w:val="0085237E"/>
    <w:rsid w:val="008555BD"/>
    <w:rsid w:val="0085561A"/>
    <w:rsid w:val="008604E3"/>
    <w:rsid w:val="00861735"/>
    <w:rsid w:val="00863E2B"/>
    <w:rsid w:val="008652ED"/>
    <w:rsid w:val="008656BB"/>
    <w:rsid w:val="00870081"/>
    <w:rsid w:val="00871E85"/>
    <w:rsid w:val="00872806"/>
    <w:rsid w:val="00872E53"/>
    <w:rsid w:val="0087428C"/>
    <w:rsid w:val="00875EA3"/>
    <w:rsid w:val="00877CCA"/>
    <w:rsid w:val="00884005"/>
    <w:rsid w:val="008848BD"/>
    <w:rsid w:val="00886450"/>
    <w:rsid w:val="008868C0"/>
    <w:rsid w:val="00887329"/>
    <w:rsid w:val="00887B43"/>
    <w:rsid w:val="00891191"/>
    <w:rsid w:val="00892673"/>
    <w:rsid w:val="00893DDB"/>
    <w:rsid w:val="008952D9"/>
    <w:rsid w:val="00895D3F"/>
    <w:rsid w:val="008966F0"/>
    <w:rsid w:val="00896C23"/>
    <w:rsid w:val="008A01FD"/>
    <w:rsid w:val="008A2183"/>
    <w:rsid w:val="008A267A"/>
    <w:rsid w:val="008A27C3"/>
    <w:rsid w:val="008A2BB7"/>
    <w:rsid w:val="008A5310"/>
    <w:rsid w:val="008A6495"/>
    <w:rsid w:val="008A6AC5"/>
    <w:rsid w:val="008A6FA7"/>
    <w:rsid w:val="008B2572"/>
    <w:rsid w:val="008B267A"/>
    <w:rsid w:val="008B3242"/>
    <w:rsid w:val="008B3BC9"/>
    <w:rsid w:val="008B3EE5"/>
    <w:rsid w:val="008B4295"/>
    <w:rsid w:val="008B42E0"/>
    <w:rsid w:val="008C0EB1"/>
    <w:rsid w:val="008C3206"/>
    <w:rsid w:val="008C358E"/>
    <w:rsid w:val="008C4B91"/>
    <w:rsid w:val="008C4EBF"/>
    <w:rsid w:val="008C6564"/>
    <w:rsid w:val="008C6C3B"/>
    <w:rsid w:val="008C7584"/>
    <w:rsid w:val="008D2105"/>
    <w:rsid w:val="008D260F"/>
    <w:rsid w:val="008D2DA5"/>
    <w:rsid w:val="008D35B5"/>
    <w:rsid w:val="008D3FB0"/>
    <w:rsid w:val="008D43CF"/>
    <w:rsid w:val="008E0FC2"/>
    <w:rsid w:val="008E1190"/>
    <w:rsid w:val="008E1520"/>
    <w:rsid w:val="008E1571"/>
    <w:rsid w:val="008E2433"/>
    <w:rsid w:val="008E2EDF"/>
    <w:rsid w:val="008E38D1"/>
    <w:rsid w:val="008E39E6"/>
    <w:rsid w:val="008E49FF"/>
    <w:rsid w:val="008E54DF"/>
    <w:rsid w:val="008E69B5"/>
    <w:rsid w:val="008F06FE"/>
    <w:rsid w:val="008F0929"/>
    <w:rsid w:val="008F1406"/>
    <w:rsid w:val="008F1E24"/>
    <w:rsid w:val="008F20A8"/>
    <w:rsid w:val="008F2107"/>
    <w:rsid w:val="008F3925"/>
    <w:rsid w:val="008F5813"/>
    <w:rsid w:val="008F6A0A"/>
    <w:rsid w:val="00900717"/>
    <w:rsid w:val="00901DF9"/>
    <w:rsid w:val="009040FE"/>
    <w:rsid w:val="0090601C"/>
    <w:rsid w:val="00911EAA"/>
    <w:rsid w:val="00911F2F"/>
    <w:rsid w:val="00911F7C"/>
    <w:rsid w:val="00912A74"/>
    <w:rsid w:val="00913900"/>
    <w:rsid w:val="00913AF3"/>
    <w:rsid w:val="00913C76"/>
    <w:rsid w:val="009140A4"/>
    <w:rsid w:val="00914681"/>
    <w:rsid w:val="00917945"/>
    <w:rsid w:val="00917D70"/>
    <w:rsid w:val="0092103F"/>
    <w:rsid w:val="009220F8"/>
    <w:rsid w:val="0092477A"/>
    <w:rsid w:val="00926CC8"/>
    <w:rsid w:val="009275A7"/>
    <w:rsid w:val="0093090C"/>
    <w:rsid w:val="009316DA"/>
    <w:rsid w:val="00931A74"/>
    <w:rsid w:val="00931E41"/>
    <w:rsid w:val="00931EED"/>
    <w:rsid w:val="009322F5"/>
    <w:rsid w:val="00933967"/>
    <w:rsid w:val="00935B73"/>
    <w:rsid w:val="00935F77"/>
    <w:rsid w:val="00936711"/>
    <w:rsid w:val="0093790E"/>
    <w:rsid w:val="00940B29"/>
    <w:rsid w:val="009419F2"/>
    <w:rsid w:val="00941F31"/>
    <w:rsid w:val="00942509"/>
    <w:rsid w:val="00942925"/>
    <w:rsid w:val="009430FA"/>
    <w:rsid w:val="00945669"/>
    <w:rsid w:val="00946DDF"/>
    <w:rsid w:val="00947485"/>
    <w:rsid w:val="00947A2E"/>
    <w:rsid w:val="009506DD"/>
    <w:rsid w:val="009537F1"/>
    <w:rsid w:val="00954119"/>
    <w:rsid w:val="009544FE"/>
    <w:rsid w:val="00955B3C"/>
    <w:rsid w:val="00962AC5"/>
    <w:rsid w:val="00963E07"/>
    <w:rsid w:val="0097024B"/>
    <w:rsid w:val="0097064A"/>
    <w:rsid w:val="009715C2"/>
    <w:rsid w:val="00972910"/>
    <w:rsid w:val="009761BA"/>
    <w:rsid w:val="00976310"/>
    <w:rsid w:val="00976904"/>
    <w:rsid w:val="00986F76"/>
    <w:rsid w:val="009917F5"/>
    <w:rsid w:val="00992BA6"/>
    <w:rsid w:val="00993858"/>
    <w:rsid w:val="009943C8"/>
    <w:rsid w:val="00996CCA"/>
    <w:rsid w:val="009A169D"/>
    <w:rsid w:val="009A30E6"/>
    <w:rsid w:val="009A4BD5"/>
    <w:rsid w:val="009A4CFD"/>
    <w:rsid w:val="009A5196"/>
    <w:rsid w:val="009A5AA9"/>
    <w:rsid w:val="009A5CD0"/>
    <w:rsid w:val="009A5CEA"/>
    <w:rsid w:val="009A6887"/>
    <w:rsid w:val="009A711F"/>
    <w:rsid w:val="009A7184"/>
    <w:rsid w:val="009B04D7"/>
    <w:rsid w:val="009B1F8B"/>
    <w:rsid w:val="009B27FD"/>
    <w:rsid w:val="009B3D96"/>
    <w:rsid w:val="009B4168"/>
    <w:rsid w:val="009B5456"/>
    <w:rsid w:val="009B54B8"/>
    <w:rsid w:val="009B77E6"/>
    <w:rsid w:val="009C0F83"/>
    <w:rsid w:val="009C1EEA"/>
    <w:rsid w:val="009C3BA8"/>
    <w:rsid w:val="009C4189"/>
    <w:rsid w:val="009C5972"/>
    <w:rsid w:val="009C708D"/>
    <w:rsid w:val="009C722B"/>
    <w:rsid w:val="009C74B3"/>
    <w:rsid w:val="009D2123"/>
    <w:rsid w:val="009D4E57"/>
    <w:rsid w:val="009D537F"/>
    <w:rsid w:val="009D558F"/>
    <w:rsid w:val="009D5B6D"/>
    <w:rsid w:val="009D5F48"/>
    <w:rsid w:val="009D62D3"/>
    <w:rsid w:val="009D6876"/>
    <w:rsid w:val="009D74EE"/>
    <w:rsid w:val="009E1244"/>
    <w:rsid w:val="009E2550"/>
    <w:rsid w:val="009E310A"/>
    <w:rsid w:val="009E6297"/>
    <w:rsid w:val="009E7708"/>
    <w:rsid w:val="009E7955"/>
    <w:rsid w:val="009E7EBD"/>
    <w:rsid w:val="009F03AB"/>
    <w:rsid w:val="009F198F"/>
    <w:rsid w:val="009F222D"/>
    <w:rsid w:val="009F24D1"/>
    <w:rsid w:val="009F28C0"/>
    <w:rsid w:val="009F3211"/>
    <w:rsid w:val="009F52A9"/>
    <w:rsid w:val="009F57FE"/>
    <w:rsid w:val="009F5B83"/>
    <w:rsid w:val="009F6BC4"/>
    <w:rsid w:val="009F7A47"/>
    <w:rsid w:val="009F7ACF"/>
    <w:rsid w:val="00A0368E"/>
    <w:rsid w:val="00A03F28"/>
    <w:rsid w:val="00A04FE5"/>
    <w:rsid w:val="00A051B8"/>
    <w:rsid w:val="00A05DF2"/>
    <w:rsid w:val="00A05F67"/>
    <w:rsid w:val="00A060FD"/>
    <w:rsid w:val="00A07CD6"/>
    <w:rsid w:val="00A10292"/>
    <w:rsid w:val="00A11586"/>
    <w:rsid w:val="00A132F5"/>
    <w:rsid w:val="00A138A2"/>
    <w:rsid w:val="00A14A70"/>
    <w:rsid w:val="00A14BBA"/>
    <w:rsid w:val="00A21706"/>
    <w:rsid w:val="00A2320E"/>
    <w:rsid w:val="00A23E75"/>
    <w:rsid w:val="00A2571B"/>
    <w:rsid w:val="00A25A4B"/>
    <w:rsid w:val="00A26D4D"/>
    <w:rsid w:val="00A273D6"/>
    <w:rsid w:val="00A275DC"/>
    <w:rsid w:val="00A27987"/>
    <w:rsid w:val="00A3164A"/>
    <w:rsid w:val="00A31F35"/>
    <w:rsid w:val="00A322D7"/>
    <w:rsid w:val="00A35DB3"/>
    <w:rsid w:val="00A3734B"/>
    <w:rsid w:val="00A4067B"/>
    <w:rsid w:val="00A406C9"/>
    <w:rsid w:val="00A4223F"/>
    <w:rsid w:val="00A42ECC"/>
    <w:rsid w:val="00A4370A"/>
    <w:rsid w:val="00A463BB"/>
    <w:rsid w:val="00A46868"/>
    <w:rsid w:val="00A46D0F"/>
    <w:rsid w:val="00A46E5F"/>
    <w:rsid w:val="00A472E6"/>
    <w:rsid w:val="00A50067"/>
    <w:rsid w:val="00A506EF"/>
    <w:rsid w:val="00A518FD"/>
    <w:rsid w:val="00A51F13"/>
    <w:rsid w:val="00A52EAF"/>
    <w:rsid w:val="00A5324D"/>
    <w:rsid w:val="00A54A8E"/>
    <w:rsid w:val="00A54AE2"/>
    <w:rsid w:val="00A54FCE"/>
    <w:rsid w:val="00A5585D"/>
    <w:rsid w:val="00A56B71"/>
    <w:rsid w:val="00A56FE7"/>
    <w:rsid w:val="00A602F1"/>
    <w:rsid w:val="00A604F5"/>
    <w:rsid w:val="00A608DB"/>
    <w:rsid w:val="00A64614"/>
    <w:rsid w:val="00A667F8"/>
    <w:rsid w:val="00A7020C"/>
    <w:rsid w:val="00A706FF"/>
    <w:rsid w:val="00A70A76"/>
    <w:rsid w:val="00A72647"/>
    <w:rsid w:val="00A74344"/>
    <w:rsid w:val="00A802C4"/>
    <w:rsid w:val="00A808DA"/>
    <w:rsid w:val="00A8402D"/>
    <w:rsid w:val="00A84418"/>
    <w:rsid w:val="00A86337"/>
    <w:rsid w:val="00A87877"/>
    <w:rsid w:val="00A87FDD"/>
    <w:rsid w:val="00A9694F"/>
    <w:rsid w:val="00A97009"/>
    <w:rsid w:val="00AA0A8E"/>
    <w:rsid w:val="00AA45FD"/>
    <w:rsid w:val="00AA5798"/>
    <w:rsid w:val="00AA657C"/>
    <w:rsid w:val="00AB0D23"/>
    <w:rsid w:val="00AB17EC"/>
    <w:rsid w:val="00AB21F7"/>
    <w:rsid w:val="00AB221E"/>
    <w:rsid w:val="00AB3DDD"/>
    <w:rsid w:val="00AB3EC2"/>
    <w:rsid w:val="00AB5B47"/>
    <w:rsid w:val="00AB6296"/>
    <w:rsid w:val="00AB683C"/>
    <w:rsid w:val="00AB6BEC"/>
    <w:rsid w:val="00AB6E8F"/>
    <w:rsid w:val="00AB7AA1"/>
    <w:rsid w:val="00AC329F"/>
    <w:rsid w:val="00AC36DE"/>
    <w:rsid w:val="00AC4774"/>
    <w:rsid w:val="00AC4EAA"/>
    <w:rsid w:val="00AC5ED0"/>
    <w:rsid w:val="00AC6A8A"/>
    <w:rsid w:val="00AC6F8C"/>
    <w:rsid w:val="00AD002C"/>
    <w:rsid w:val="00AD0319"/>
    <w:rsid w:val="00AD20DC"/>
    <w:rsid w:val="00AD39AF"/>
    <w:rsid w:val="00AD73B4"/>
    <w:rsid w:val="00AD78AB"/>
    <w:rsid w:val="00AE00EC"/>
    <w:rsid w:val="00AE0977"/>
    <w:rsid w:val="00AE15B4"/>
    <w:rsid w:val="00AE2F01"/>
    <w:rsid w:val="00AE481A"/>
    <w:rsid w:val="00AE588C"/>
    <w:rsid w:val="00AE5D7E"/>
    <w:rsid w:val="00AE650B"/>
    <w:rsid w:val="00AE6CB8"/>
    <w:rsid w:val="00AE7785"/>
    <w:rsid w:val="00AE79D7"/>
    <w:rsid w:val="00AE7EA4"/>
    <w:rsid w:val="00AF0A3C"/>
    <w:rsid w:val="00AF112D"/>
    <w:rsid w:val="00AF123A"/>
    <w:rsid w:val="00AF1757"/>
    <w:rsid w:val="00AF1780"/>
    <w:rsid w:val="00AF4853"/>
    <w:rsid w:val="00AF4A58"/>
    <w:rsid w:val="00AF5DD1"/>
    <w:rsid w:val="00B025B5"/>
    <w:rsid w:val="00B0415E"/>
    <w:rsid w:val="00B0631A"/>
    <w:rsid w:val="00B124D4"/>
    <w:rsid w:val="00B1291E"/>
    <w:rsid w:val="00B12B64"/>
    <w:rsid w:val="00B13FD2"/>
    <w:rsid w:val="00B20989"/>
    <w:rsid w:val="00B21D27"/>
    <w:rsid w:val="00B24D7E"/>
    <w:rsid w:val="00B26D67"/>
    <w:rsid w:val="00B26F5D"/>
    <w:rsid w:val="00B27F12"/>
    <w:rsid w:val="00B32F7B"/>
    <w:rsid w:val="00B35C95"/>
    <w:rsid w:val="00B37D88"/>
    <w:rsid w:val="00B40D51"/>
    <w:rsid w:val="00B433F3"/>
    <w:rsid w:val="00B46501"/>
    <w:rsid w:val="00B46D70"/>
    <w:rsid w:val="00B5048D"/>
    <w:rsid w:val="00B5107A"/>
    <w:rsid w:val="00B52D45"/>
    <w:rsid w:val="00B535E3"/>
    <w:rsid w:val="00B55801"/>
    <w:rsid w:val="00B57FF9"/>
    <w:rsid w:val="00B62990"/>
    <w:rsid w:val="00B64DFC"/>
    <w:rsid w:val="00B64E30"/>
    <w:rsid w:val="00B66173"/>
    <w:rsid w:val="00B66E97"/>
    <w:rsid w:val="00B67EAF"/>
    <w:rsid w:val="00B70402"/>
    <w:rsid w:val="00B70A5B"/>
    <w:rsid w:val="00B725B2"/>
    <w:rsid w:val="00B72E4D"/>
    <w:rsid w:val="00B75F21"/>
    <w:rsid w:val="00B8023A"/>
    <w:rsid w:val="00B83BF3"/>
    <w:rsid w:val="00B84558"/>
    <w:rsid w:val="00B847EA"/>
    <w:rsid w:val="00B91AC1"/>
    <w:rsid w:val="00B92050"/>
    <w:rsid w:val="00B928E1"/>
    <w:rsid w:val="00B93DC3"/>
    <w:rsid w:val="00B959CA"/>
    <w:rsid w:val="00B95E0B"/>
    <w:rsid w:val="00B96302"/>
    <w:rsid w:val="00B96EE9"/>
    <w:rsid w:val="00B97A94"/>
    <w:rsid w:val="00BA0880"/>
    <w:rsid w:val="00BA3A08"/>
    <w:rsid w:val="00BA5326"/>
    <w:rsid w:val="00BA5696"/>
    <w:rsid w:val="00BA6A7A"/>
    <w:rsid w:val="00BA7C14"/>
    <w:rsid w:val="00BB0182"/>
    <w:rsid w:val="00BB0F42"/>
    <w:rsid w:val="00BB1159"/>
    <w:rsid w:val="00BB27F6"/>
    <w:rsid w:val="00BB3AAB"/>
    <w:rsid w:val="00BB3FE2"/>
    <w:rsid w:val="00BB4679"/>
    <w:rsid w:val="00BC178F"/>
    <w:rsid w:val="00BC4298"/>
    <w:rsid w:val="00BC4D1D"/>
    <w:rsid w:val="00BC5A35"/>
    <w:rsid w:val="00BC5B6A"/>
    <w:rsid w:val="00BC699E"/>
    <w:rsid w:val="00BC6D76"/>
    <w:rsid w:val="00BC7CE6"/>
    <w:rsid w:val="00BD1547"/>
    <w:rsid w:val="00BD29ED"/>
    <w:rsid w:val="00BD41A5"/>
    <w:rsid w:val="00BD6534"/>
    <w:rsid w:val="00BD687C"/>
    <w:rsid w:val="00BE01A9"/>
    <w:rsid w:val="00BE157E"/>
    <w:rsid w:val="00BE1AB3"/>
    <w:rsid w:val="00BE1CD6"/>
    <w:rsid w:val="00BE332D"/>
    <w:rsid w:val="00BE4361"/>
    <w:rsid w:val="00BE6294"/>
    <w:rsid w:val="00BF0266"/>
    <w:rsid w:val="00BF38A5"/>
    <w:rsid w:val="00BF3DE0"/>
    <w:rsid w:val="00BF58F4"/>
    <w:rsid w:val="00BF7535"/>
    <w:rsid w:val="00C000D2"/>
    <w:rsid w:val="00C00DF9"/>
    <w:rsid w:val="00C01F7E"/>
    <w:rsid w:val="00C02BD5"/>
    <w:rsid w:val="00C03289"/>
    <w:rsid w:val="00C03619"/>
    <w:rsid w:val="00C05350"/>
    <w:rsid w:val="00C0636E"/>
    <w:rsid w:val="00C103E4"/>
    <w:rsid w:val="00C14B66"/>
    <w:rsid w:val="00C15CB1"/>
    <w:rsid w:val="00C162BD"/>
    <w:rsid w:val="00C16330"/>
    <w:rsid w:val="00C168EB"/>
    <w:rsid w:val="00C177EF"/>
    <w:rsid w:val="00C20400"/>
    <w:rsid w:val="00C208AE"/>
    <w:rsid w:val="00C212AA"/>
    <w:rsid w:val="00C21FCD"/>
    <w:rsid w:val="00C220C8"/>
    <w:rsid w:val="00C232A2"/>
    <w:rsid w:val="00C26195"/>
    <w:rsid w:val="00C26C58"/>
    <w:rsid w:val="00C26CD3"/>
    <w:rsid w:val="00C277D9"/>
    <w:rsid w:val="00C27B44"/>
    <w:rsid w:val="00C27E96"/>
    <w:rsid w:val="00C3260D"/>
    <w:rsid w:val="00C32DCA"/>
    <w:rsid w:val="00C33396"/>
    <w:rsid w:val="00C348C6"/>
    <w:rsid w:val="00C34D55"/>
    <w:rsid w:val="00C356EA"/>
    <w:rsid w:val="00C35DED"/>
    <w:rsid w:val="00C3668E"/>
    <w:rsid w:val="00C40C48"/>
    <w:rsid w:val="00C41D5A"/>
    <w:rsid w:val="00C440C0"/>
    <w:rsid w:val="00C4674F"/>
    <w:rsid w:val="00C50A34"/>
    <w:rsid w:val="00C51333"/>
    <w:rsid w:val="00C515E4"/>
    <w:rsid w:val="00C52C3D"/>
    <w:rsid w:val="00C57301"/>
    <w:rsid w:val="00C577C6"/>
    <w:rsid w:val="00C57CBC"/>
    <w:rsid w:val="00C600E3"/>
    <w:rsid w:val="00C61EC1"/>
    <w:rsid w:val="00C624BD"/>
    <w:rsid w:val="00C62D57"/>
    <w:rsid w:val="00C62FC0"/>
    <w:rsid w:val="00C6376D"/>
    <w:rsid w:val="00C6509C"/>
    <w:rsid w:val="00C65959"/>
    <w:rsid w:val="00C71163"/>
    <w:rsid w:val="00C7272D"/>
    <w:rsid w:val="00C72E84"/>
    <w:rsid w:val="00C74F2D"/>
    <w:rsid w:val="00C7680C"/>
    <w:rsid w:val="00C778D8"/>
    <w:rsid w:val="00C779AD"/>
    <w:rsid w:val="00C77E93"/>
    <w:rsid w:val="00C8023F"/>
    <w:rsid w:val="00C80483"/>
    <w:rsid w:val="00C809DC"/>
    <w:rsid w:val="00C81F0B"/>
    <w:rsid w:val="00C86903"/>
    <w:rsid w:val="00C86A80"/>
    <w:rsid w:val="00C87352"/>
    <w:rsid w:val="00C91CF9"/>
    <w:rsid w:val="00C9317C"/>
    <w:rsid w:val="00C941EF"/>
    <w:rsid w:val="00C94699"/>
    <w:rsid w:val="00C94818"/>
    <w:rsid w:val="00C952EA"/>
    <w:rsid w:val="00C9589D"/>
    <w:rsid w:val="00C96983"/>
    <w:rsid w:val="00C96A74"/>
    <w:rsid w:val="00CA0715"/>
    <w:rsid w:val="00CA1419"/>
    <w:rsid w:val="00CA2C32"/>
    <w:rsid w:val="00CA33B6"/>
    <w:rsid w:val="00CA6D89"/>
    <w:rsid w:val="00CA6E02"/>
    <w:rsid w:val="00CA75B1"/>
    <w:rsid w:val="00CB094B"/>
    <w:rsid w:val="00CB0DA3"/>
    <w:rsid w:val="00CB3115"/>
    <w:rsid w:val="00CC1AE6"/>
    <w:rsid w:val="00CC25AC"/>
    <w:rsid w:val="00CC2C63"/>
    <w:rsid w:val="00CC3807"/>
    <w:rsid w:val="00CC451A"/>
    <w:rsid w:val="00CC4AA9"/>
    <w:rsid w:val="00CC56A2"/>
    <w:rsid w:val="00CC675C"/>
    <w:rsid w:val="00CC7523"/>
    <w:rsid w:val="00CD2331"/>
    <w:rsid w:val="00CD2553"/>
    <w:rsid w:val="00CD2865"/>
    <w:rsid w:val="00CD4C1D"/>
    <w:rsid w:val="00CD5378"/>
    <w:rsid w:val="00CD7620"/>
    <w:rsid w:val="00CE1BB4"/>
    <w:rsid w:val="00CE1C53"/>
    <w:rsid w:val="00CE21F4"/>
    <w:rsid w:val="00CE404F"/>
    <w:rsid w:val="00CE5555"/>
    <w:rsid w:val="00CE7B74"/>
    <w:rsid w:val="00CF46E2"/>
    <w:rsid w:val="00CF64E6"/>
    <w:rsid w:val="00CF7C10"/>
    <w:rsid w:val="00D001DE"/>
    <w:rsid w:val="00D011CC"/>
    <w:rsid w:val="00D02EF6"/>
    <w:rsid w:val="00D03FA2"/>
    <w:rsid w:val="00D051F3"/>
    <w:rsid w:val="00D05C8D"/>
    <w:rsid w:val="00D076F2"/>
    <w:rsid w:val="00D07BC3"/>
    <w:rsid w:val="00D07D74"/>
    <w:rsid w:val="00D106BF"/>
    <w:rsid w:val="00D10FC1"/>
    <w:rsid w:val="00D112D3"/>
    <w:rsid w:val="00D12166"/>
    <w:rsid w:val="00D12554"/>
    <w:rsid w:val="00D13B77"/>
    <w:rsid w:val="00D13C45"/>
    <w:rsid w:val="00D159CB"/>
    <w:rsid w:val="00D162DB"/>
    <w:rsid w:val="00D223BE"/>
    <w:rsid w:val="00D23A2D"/>
    <w:rsid w:val="00D25130"/>
    <w:rsid w:val="00D259A3"/>
    <w:rsid w:val="00D32472"/>
    <w:rsid w:val="00D32B4A"/>
    <w:rsid w:val="00D35D19"/>
    <w:rsid w:val="00D366CF"/>
    <w:rsid w:val="00D36AB4"/>
    <w:rsid w:val="00D37CF7"/>
    <w:rsid w:val="00D41442"/>
    <w:rsid w:val="00D4429C"/>
    <w:rsid w:val="00D515A6"/>
    <w:rsid w:val="00D515E2"/>
    <w:rsid w:val="00D51768"/>
    <w:rsid w:val="00D51A36"/>
    <w:rsid w:val="00D51AA5"/>
    <w:rsid w:val="00D51B90"/>
    <w:rsid w:val="00D5478E"/>
    <w:rsid w:val="00D616A3"/>
    <w:rsid w:val="00D618A0"/>
    <w:rsid w:val="00D65A0F"/>
    <w:rsid w:val="00D6659C"/>
    <w:rsid w:val="00D66897"/>
    <w:rsid w:val="00D66CCF"/>
    <w:rsid w:val="00D673ED"/>
    <w:rsid w:val="00D70504"/>
    <w:rsid w:val="00D712FA"/>
    <w:rsid w:val="00D83612"/>
    <w:rsid w:val="00D840ED"/>
    <w:rsid w:val="00D841A7"/>
    <w:rsid w:val="00D857D6"/>
    <w:rsid w:val="00D86B28"/>
    <w:rsid w:val="00D87614"/>
    <w:rsid w:val="00D919DF"/>
    <w:rsid w:val="00D95C79"/>
    <w:rsid w:val="00D95F47"/>
    <w:rsid w:val="00D962C4"/>
    <w:rsid w:val="00DA0081"/>
    <w:rsid w:val="00DA2847"/>
    <w:rsid w:val="00DA29C1"/>
    <w:rsid w:val="00DA2EC2"/>
    <w:rsid w:val="00DA3039"/>
    <w:rsid w:val="00DA3FAD"/>
    <w:rsid w:val="00DA4A81"/>
    <w:rsid w:val="00DA6334"/>
    <w:rsid w:val="00DA6A6B"/>
    <w:rsid w:val="00DA6F40"/>
    <w:rsid w:val="00DA722E"/>
    <w:rsid w:val="00DA7715"/>
    <w:rsid w:val="00DB06D1"/>
    <w:rsid w:val="00DB0DF1"/>
    <w:rsid w:val="00DB43EF"/>
    <w:rsid w:val="00DB4A2F"/>
    <w:rsid w:val="00DB74F6"/>
    <w:rsid w:val="00DB7C99"/>
    <w:rsid w:val="00DB7F8B"/>
    <w:rsid w:val="00DC1F22"/>
    <w:rsid w:val="00DC29A4"/>
    <w:rsid w:val="00DC2AFB"/>
    <w:rsid w:val="00DC3CF4"/>
    <w:rsid w:val="00DC429C"/>
    <w:rsid w:val="00DC744B"/>
    <w:rsid w:val="00DD4F3D"/>
    <w:rsid w:val="00DD6F31"/>
    <w:rsid w:val="00DE34F3"/>
    <w:rsid w:val="00DE40D2"/>
    <w:rsid w:val="00DE4763"/>
    <w:rsid w:val="00DE4BD1"/>
    <w:rsid w:val="00DE7E54"/>
    <w:rsid w:val="00DF03BE"/>
    <w:rsid w:val="00DF1550"/>
    <w:rsid w:val="00DF203A"/>
    <w:rsid w:val="00DF4292"/>
    <w:rsid w:val="00DF43C3"/>
    <w:rsid w:val="00DF56D8"/>
    <w:rsid w:val="00DF5824"/>
    <w:rsid w:val="00DF5F9B"/>
    <w:rsid w:val="00DF5FAE"/>
    <w:rsid w:val="00E00481"/>
    <w:rsid w:val="00E1019B"/>
    <w:rsid w:val="00E138D0"/>
    <w:rsid w:val="00E15AE3"/>
    <w:rsid w:val="00E15CBF"/>
    <w:rsid w:val="00E21727"/>
    <w:rsid w:val="00E224FD"/>
    <w:rsid w:val="00E22765"/>
    <w:rsid w:val="00E22F76"/>
    <w:rsid w:val="00E23A1F"/>
    <w:rsid w:val="00E25597"/>
    <w:rsid w:val="00E34490"/>
    <w:rsid w:val="00E36830"/>
    <w:rsid w:val="00E36AD1"/>
    <w:rsid w:val="00E36EC1"/>
    <w:rsid w:val="00E379AB"/>
    <w:rsid w:val="00E40C11"/>
    <w:rsid w:val="00E4106A"/>
    <w:rsid w:val="00E44256"/>
    <w:rsid w:val="00E447B5"/>
    <w:rsid w:val="00E44914"/>
    <w:rsid w:val="00E4689A"/>
    <w:rsid w:val="00E508FB"/>
    <w:rsid w:val="00E50B56"/>
    <w:rsid w:val="00E51E2A"/>
    <w:rsid w:val="00E52ECF"/>
    <w:rsid w:val="00E53A9A"/>
    <w:rsid w:val="00E54841"/>
    <w:rsid w:val="00E5549F"/>
    <w:rsid w:val="00E572DA"/>
    <w:rsid w:val="00E57895"/>
    <w:rsid w:val="00E61EFC"/>
    <w:rsid w:val="00E6201D"/>
    <w:rsid w:val="00E63286"/>
    <w:rsid w:val="00E66276"/>
    <w:rsid w:val="00E72E45"/>
    <w:rsid w:val="00E759B6"/>
    <w:rsid w:val="00E75F2A"/>
    <w:rsid w:val="00E778A4"/>
    <w:rsid w:val="00E77D00"/>
    <w:rsid w:val="00E81472"/>
    <w:rsid w:val="00E824BE"/>
    <w:rsid w:val="00E8258E"/>
    <w:rsid w:val="00E84442"/>
    <w:rsid w:val="00E84F09"/>
    <w:rsid w:val="00E86003"/>
    <w:rsid w:val="00E8710C"/>
    <w:rsid w:val="00E90B7A"/>
    <w:rsid w:val="00E91747"/>
    <w:rsid w:val="00E9327C"/>
    <w:rsid w:val="00E94BF8"/>
    <w:rsid w:val="00E9579D"/>
    <w:rsid w:val="00E96DC0"/>
    <w:rsid w:val="00E97330"/>
    <w:rsid w:val="00E97710"/>
    <w:rsid w:val="00E9782B"/>
    <w:rsid w:val="00E97B5D"/>
    <w:rsid w:val="00EA2161"/>
    <w:rsid w:val="00EA4183"/>
    <w:rsid w:val="00EA4BE0"/>
    <w:rsid w:val="00EA56C6"/>
    <w:rsid w:val="00EB01ED"/>
    <w:rsid w:val="00EB0355"/>
    <w:rsid w:val="00EB0CC0"/>
    <w:rsid w:val="00EB0DFD"/>
    <w:rsid w:val="00EB23A2"/>
    <w:rsid w:val="00EB5671"/>
    <w:rsid w:val="00EB58C0"/>
    <w:rsid w:val="00EB6B07"/>
    <w:rsid w:val="00EC0A78"/>
    <w:rsid w:val="00EC3B46"/>
    <w:rsid w:val="00EC5AA1"/>
    <w:rsid w:val="00EC5DC5"/>
    <w:rsid w:val="00EC5FB2"/>
    <w:rsid w:val="00EC651B"/>
    <w:rsid w:val="00EC6979"/>
    <w:rsid w:val="00EC7CF1"/>
    <w:rsid w:val="00ED02F5"/>
    <w:rsid w:val="00ED09C0"/>
    <w:rsid w:val="00ED11E2"/>
    <w:rsid w:val="00ED2069"/>
    <w:rsid w:val="00ED31DD"/>
    <w:rsid w:val="00ED53C1"/>
    <w:rsid w:val="00EE0026"/>
    <w:rsid w:val="00EE0399"/>
    <w:rsid w:val="00EE2A08"/>
    <w:rsid w:val="00EE3DE9"/>
    <w:rsid w:val="00EE467F"/>
    <w:rsid w:val="00EE62AA"/>
    <w:rsid w:val="00EE76A7"/>
    <w:rsid w:val="00EF2052"/>
    <w:rsid w:val="00EF30E3"/>
    <w:rsid w:val="00EF351F"/>
    <w:rsid w:val="00EF47EF"/>
    <w:rsid w:val="00EF4D57"/>
    <w:rsid w:val="00EF5490"/>
    <w:rsid w:val="00EF5A18"/>
    <w:rsid w:val="00EF677A"/>
    <w:rsid w:val="00EF6C16"/>
    <w:rsid w:val="00EF7592"/>
    <w:rsid w:val="00EF7BCF"/>
    <w:rsid w:val="00EF7F83"/>
    <w:rsid w:val="00F01D6E"/>
    <w:rsid w:val="00F02A30"/>
    <w:rsid w:val="00F04308"/>
    <w:rsid w:val="00F04A61"/>
    <w:rsid w:val="00F0575F"/>
    <w:rsid w:val="00F05C01"/>
    <w:rsid w:val="00F05F25"/>
    <w:rsid w:val="00F07937"/>
    <w:rsid w:val="00F10CD2"/>
    <w:rsid w:val="00F12874"/>
    <w:rsid w:val="00F12ACB"/>
    <w:rsid w:val="00F13B4F"/>
    <w:rsid w:val="00F14323"/>
    <w:rsid w:val="00F14702"/>
    <w:rsid w:val="00F14895"/>
    <w:rsid w:val="00F158DA"/>
    <w:rsid w:val="00F15C95"/>
    <w:rsid w:val="00F16614"/>
    <w:rsid w:val="00F17061"/>
    <w:rsid w:val="00F173C5"/>
    <w:rsid w:val="00F17C71"/>
    <w:rsid w:val="00F20DD7"/>
    <w:rsid w:val="00F23AF8"/>
    <w:rsid w:val="00F2456F"/>
    <w:rsid w:val="00F279DB"/>
    <w:rsid w:val="00F324FC"/>
    <w:rsid w:val="00F32B5A"/>
    <w:rsid w:val="00F33CC8"/>
    <w:rsid w:val="00F340C4"/>
    <w:rsid w:val="00F34FB3"/>
    <w:rsid w:val="00F36DC7"/>
    <w:rsid w:val="00F42A55"/>
    <w:rsid w:val="00F42F64"/>
    <w:rsid w:val="00F50116"/>
    <w:rsid w:val="00F5033E"/>
    <w:rsid w:val="00F57523"/>
    <w:rsid w:val="00F57E50"/>
    <w:rsid w:val="00F608C9"/>
    <w:rsid w:val="00F62203"/>
    <w:rsid w:val="00F63D74"/>
    <w:rsid w:val="00F65AB9"/>
    <w:rsid w:val="00F65CC8"/>
    <w:rsid w:val="00F65FD8"/>
    <w:rsid w:val="00F6750A"/>
    <w:rsid w:val="00F72133"/>
    <w:rsid w:val="00F73D79"/>
    <w:rsid w:val="00F751DA"/>
    <w:rsid w:val="00F75C1C"/>
    <w:rsid w:val="00F7794B"/>
    <w:rsid w:val="00F800E7"/>
    <w:rsid w:val="00F8073D"/>
    <w:rsid w:val="00F80818"/>
    <w:rsid w:val="00F80CDB"/>
    <w:rsid w:val="00F822CD"/>
    <w:rsid w:val="00F830DD"/>
    <w:rsid w:val="00F84571"/>
    <w:rsid w:val="00F85356"/>
    <w:rsid w:val="00F8537E"/>
    <w:rsid w:val="00F864A4"/>
    <w:rsid w:val="00F90615"/>
    <w:rsid w:val="00F91605"/>
    <w:rsid w:val="00F92B52"/>
    <w:rsid w:val="00F95A9F"/>
    <w:rsid w:val="00F960F1"/>
    <w:rsid w:val="00F96D21"/>
    <w:rsid w:val="00F97873"/>
    <w:rsid w:val="00FA0412"/>
    <w:rsid w:val="00FA2968"/>
    <w:rsid w:val="00FA2C64"/>
    <w:rsid w:val="00FA2F79"/>
    <w:rsid w:val="00FA5B55"/>
    <w:rsid w:val="00FA6A91"/>
    <w:rsid w:val="00FA7211"/>
    <w:rsid w:val="00FA7264"/>
    <w:rsid w:val="00FA72DF"/>
    <w:rsid w:val="00FA77FD"/>
    <w:rsid w:val="00FA7E63"/>
    <w:rsid w:val="00FB12DA"/>
    <w:rsid w:val="00FB1F82"/>
    <w:rsid w:val="00FB2AC8"/>
    <w:rsid w:val="00FB3E73"/>
    <w:rsid w:val="00FB4DEC"/>
    <w:rsid w:val="00FB6956"/>
    <w:rsid w:val="00FB7FBC"/>
    <w:rsid w:val="00FC13DD"/>
    <w:rsid w:val="00FC14A4"/>
    <w:rsid w:val="00FC32A7"/>
    <w:rsid w:val="00FC3F02"/>
    <w:rsid w:val="00FC6EF7"/>
    <w:rsid w:val="00FD036F"/>
    <w:rsid w:val="00FD07D8"/>
    <w:rsid w:val="00FD1A4E"/>
    <w:rsid w:val="00FD264E"/>
    <w:rsid w:val="00FD2E62"/>
    <w:rsid w:val="00FD4FA9"/>
    <w:rsid w:val="00FD5D06"/>
    <w:rsid w:val="00FD65CE"/>
    <w:rsid w:val="00FD6A3F"/>
    <w:rsid w:val="00FD7BFD"/>
    <w:rsid w:val="00FD7EE1"/>
    <w:rsid w:val="00FE11CB"/>
    <w:rsid w:val="00FE175D"/>
    <w:rsid w:val="00FE2273"/>
    <w:rsid w:val="00FE324E"/>
    <w:rsid w:val="00FE7BA3"/>
    <w:rsid w:val="00FF2F44"/>
    <w:rsid w:val="00FF3939"/>
    <w:rsid w:val="00FF5CCA"/>
    <w:rsid w:val="00FF71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A2F754A-2FF2-4D92-B281-998EF4438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6A6B"/>
    <w:pPr>
      <w:jc w:val="both"/>
    </w:pPr>
  </w:style>
  <w:style w:type="paragraph" w:styleId="Titolo1">
    <w:name w:val="heading 1"/>
    <w:basedOn w:val="Normale"/>
    <w:next w:val="Normale"/>
    <w:link w:val="Titolo1Carattere"/>
    <w:uiPriority w:val="9"/>
    <w:qFormat/>
    <w:rsid w:val="0058641B"/>
    <w:pPr>
      <w:keepNext/>
      <w:keepLines/>
      <w:numPr>
        <w:numId w:val="1"/>
      </w:numPr>
      <w:spacing w:before="480" w:after="0"/>
      <w:jc w:val="center"/>
      <w:outlineLvl w:val="0"/>
    </w:pPr>
    <w:rPr>
      <w:rFonts w:asciiTheme="majorHAnsi" w:eastAsiaTheme="majorEastAsia" w:hAnsiTheme="majorHAnsi" w:cstheme="majorBidi"/>
      <w:b/>
      <w:bCs/>
      <w:sz w:val="44"/>
      <w:szCs w:val="44"/>
    </w:rPr>
  </w:style>
  <w:style w:type="paragraph" w:styleId="Titolo2">
    <w:name w:val="heading 2"/>
    <w:basedOn w:val="Normale"/>
    <w:next w:val="Normale"/>
    <w:link w:val="Titolo2Carattere"/>
    <w:uiPriority w:val="9"/>
    <w:unhideWhenUsed/>
    <w:qFormat/>
    <w:rsid w:val="00EA4BE0"/>
    <w:pPr>
      <w:keepNext/>
      <w:keepLines/>
      <w:numPr>
        <w:ilvl w:val="1"/>
        <w:numId w:val="1"/>
      </w:numPr>
      <w:spacing w:before="200" w:after="0"/>
      <w:ind w:left="576"/>
      <w:jc w:val="center"/>
      <w:outlineLvl w:val="1"/>
    </w:pPr>
    <w:rPr>
      <w:rFonts w:asciiTheme="majorHAnsi" w:eastAsiaTheme="majorEastAsia" w:hAnsiTheme="majorHAnsi" w:cstheme="majorBidi"/>
      <w:b/>
      <w:bCs/>
      <w:sz w:val="36"/>
      <w:szCs w:val="36"/>
    </w:rPr>
  </w:style>
  <w:style w:type="paragraph" w:styleId="Titolo3">
    <w:name w:val="heading 3"/>
    <w:basedOn w:val="Normale"/>
    <w:next w:val="Normale"/>
    <w:link w:val="Titolo3Carattere"/>
    <w:uiPriority w:val="9"/>
    <w:unhideWhenUsed/>
    <w:qFormat/>
    <w:rsid w:val="007C7805"/>
    <w:pPr>
      <w:keepNext/>
      <w:keepLines/>
      <w:numPr>
        <w:ilvl w:val="2"/>
        <w:numId w:val="1"/>
      </w:numPr>
      <w:spacing w:before="200" w:after="0"/>
      <w:outlineLvl w:val="2"/>
    </w:pPr>
    <w:rPr>
      <w:rFonts w:asciiTheme="majorHAnsi" w:eastAsiaTheme="majorEastAsia" w:hAnsiTheme="majorHAnsi" w:cstheme="majorBidi"/>
      <w:b/>
      <w:bCs/>
      <w:sz w:val="32"/>
      <w:szCs w:val="32"/>
    </w:rPr>
  </w:style>
  <w:style w:type="paragraph" w:styleId="Titolo4">
    <w:name w:val="heading 4"/>
    <w:basedOn w:val="Normale"/>
    <w:next w:val="Normale"/>
    <w:link w:val="Titolo4Carattere"/>
    <w:uiPriority w:val="9"/>
    <w:semiHidden/>
    <w:unhideWhenUsed/>
    <w:qFormat/>
    <w:rsid w:val="0061694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61694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61694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61694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61694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61694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F534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F5341"/>
    <w:rPr>
      <w:rFonts w:ascii="Tahoma" w:hAnsi="Tahoma" w:cs="Tahoma"/>
      <w:sz w:val="16"/>
      <w:szCs w:val="16"/>
    </w:rPr>
  </w:style>
  <w:style w:type="character" w:customStyle="1" w:styleId="Titolo1Carattere">
    <w:name w:val="Titolo 1 Carattere"/>
    <w:basedOn w:val="Carpredefinitoparagrafo"/>
    <w:link w:val="Titolo1"/>
    <w:uiPriority w:val="9"/>
    <w:rsid w:val="0058641B"/>
    <w:rPr>
      <w:rFonts w:asciiTheme="majorHAnsi" w:eastAsiaTheme="majorEastAsia" w:hAnsiTheme="majorHAnsi" w:cstheme="majorBidi"/>
      <w:b/>
      <w:bCs/>
      <w:sz w:val="44"/>
      <w:szCs w:val="44"/>
    </w:rPr>
  </w:style>
  <w:style w:type="paragraph" w:styleId="Titolosommario">
    <w:name w:val="TOC Heading"/>
    <w:basedOn w:val="Titolo1"/>
    <w:next w:val="Normale"/>
    <w:uiPriority w:val="39"/>
    <w:semiHidden/>
    <w:unhideWhenUsed/>
    <w:qFormat/>
    <w:rsid w:val="00060218"/>
    <w:pPr>
      <w:outlineLvl w:val="9"/>
    </w:pPr>
    <w:rPr>
      <w:lang w:eastAsia="it-IT"/>
    </w:rPr>
  </w:style>
  <w:style w:type="paragraph" w:styleId="Sommario1">
    <w:name w:val="toc 1"/>
    <w:basedOn w:val="Normale"/>
    <w:next w:val="Normale"/>
    <w:autoRedefine/>
    <w:uiPriority w:val="39"/>
    <w:unhideWhenUsed/>
    <w:rsid w:val="00060218"/>
    <w:pPr>
      <w:spacing w:before="360" w:after="360"/>
    </w:pPr>
    <w:rPr>
      <w:b/>
      <w:bCs/>
      <w:caps/>
      <w:u w:val="single"/>
    </w:rPr>
  </w:style>
  <w:style w:type="character" w:styleId="Collegamentoipertestuale">
    <w:name w:val="Hyperlink"/>
    <w:basedOn w:val="Carpredefinitoparagrafo"/>
    <w:uiPriority w:val="99"/>
    <w:unhideWhenUsed/>
    <w:rsid w:val="00060218"/>
    <w:rPr>
      <w:color w:val="0000FF" w:themeColor="hyperlink"/>
      <w:u w:val="single"/>
    </w:rPr>
  </w:style>
  <w:style w:type="paragraph" w:styleId="Intestazione">
    <w:name w:val="header"/>
    <w:basedOn w:val="Normale"/>
    <w:link w:val="IntestazioneCarattere"/>
    <w:uiPriority w:val="99"/>
    <w:unhideWhenUsed/>
    <w:rsid w:val="000239F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239FD"/>
  </w:style>
  <w:style w:type="paragraph" w:styleId="Pidipagina">
    <w:name w:val="footer"/>
    <w:basedOn w:val="Normale"/>
    <w:link w:val="PidipaginaCarattere"/>
    <w:uiPriority w:val="99"/>
    <w:unhideWhenUsed/>
    <w:rsid w:val="000239F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239FD"/>
  </w:style>
  <w:style w:type="character" w:customStyle="1" w:styleId="Titolo2Carattere">
    <w:name w:val="Titolo 2 Carattere"/>
    <w:basedOn w:val="Carpredefinitoparagrafo"/>
    <w:link w:val="Titolo2"/>
    <w:uiPriority w:val="9"/>
    <w:rsid w:val="00EA4BE0"/>
    <w:rPr>
      <w:rFonts w:asciiTheme="majorHAnsi" w:eastAsiaTheme="majorEastAsia" w:hAnsiTheme="majorHAnsi" w:cstheme="majorBidi"/>
      <w:b/>
      <w:bCs/>
      <w:sz w:val="36"/>
      <w:szCs w:val="36"/>
    </w:rPr>
  </w:style>
  <w:style w:type="character" w:customStyle="1" w:styleId="Titolo3Carattere">
    <w:name w:val="Titolo 3 Carattere"/>
    <w:basedOn w:val="Carpredefinitoparagrafo"/>
    <w:link w:val="Titolo3"/>
    <w:uiPriority w:val="9"/>
    <w:rsid w:val="007C7805"/>
    <w:rPr>
      <w:rFonts w:asciiTheme="majorHAnsi" w:eastAsiaTheme="majorEastAsia" w:hAnsiTheme="majorHAnsi" w:cstheme="majorBidi"/>
      <w:b/>
      <w:bCs/>
      <w:sz w:val="32"/>
      <w:szCs w:val="32"/>
    </w:rPr>
  </w:style>
  <w:style w:type="character" w:customStyle="1" w:styleId="Titolo4Carattere">
    <w:name w:val="Titolo 4 Carattere"/>
    <w:basedOn w:val="Carpredefinitoparagrafo"/>
    <w:link w:val="Titolo4"/>
    <w:uiPriority w:val="9"/>
    <w:semiHidden/>
    <w:rsid w:val="0061694F"/>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61694F"/>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61694F"/>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61694F"/>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61694F"/>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61694F"/>
    <w:rPr>
      <w:rFonts w:asciiTheme="majorHAnsi" w:eastAsiaTheme="majorEastAsia" w:hAnsiTheme="majorHAnsi" w:cstheme="majorBidi"/>
      <w:i/>
      <w:iCs/>
      <w:color w:val="404040" w:themeColor="text1" w:themeTint="BF"/>
      <w:sz w:val="20"/>
      <w:szCs w:val="20"/>
    </w:rPr>
  </w:style>
  <w:style w:type="paragraph" w:styleId="Sommario2">
    <w:name w:val="toc 2"/>
    <w:basedOn w:val="Normale"/>
    <w:next w:val="Normale"/>
    <w:autoRedefine/>
    <w:uiPriority w:val="39"/>
    <w:unhideWhenUsed/>
    <w:rsid w:val="00FB3E73"/>
    <w:pPr>
      <w:spacing w:before="120" w:after="120"/>
    </w:pPr>
    <w:rPr>
      <w:b/>
      <w:bCs/>
      <w:smallCaps/>
    </w:rPr>
  </w:style>
  <w:style w:type="paragraph" w:styleId="Nessunaspaziatura">
    <w:name w:val="No Spacing"/>
    <w:link w:val="NessunaspaziaturaCarattere"/>
    <w:uiPriority w:val="1"/>
    <w:qFormat/>
    <w:rsid w:val="00812FAF"/>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812FAF"/>
    <w:rPr>
      <w:rFonts w:eastAsiaTheme="minorEastAsia"/>
    </w:rPr>
  </w:style>
  <w:style w:type="paragraph" w:styleId="Sommario3">
    <w:name w:val="toc 3"/>
    <w:basedOn w:val="Normale"/>
    <w:next w:val="Normale"/>
    <w:autoRedefine/>
    <w:uiPriority w:val="39"/>
    <w:unhideWhenUsed/>
    <w:rsid w:val="00C809DC"/>
    <w:pPr>
      <w:tabs>
        <w:tab w:val="left" w:pos="1384"/>
        <w:tab w:val="right" w:leader="dot" w:pos="9628"/>
      </w:tabs>
      <w:spacing w:after="0"/>
      <w:ind w:left="708"/>
    </w:pPr>
    <w:rPr>
      <w:smallCaps/>
      <w:noProof/>
    </w:rPr>
  </w:style>
  <w:style w:type="paragraph" w:styleId="Sommario4">
    <w:name w:val="toc 4"/>
    <w:basedOn w:val="Normale"/>
    <w:next w:val="Normale"/>
    <w:autoRedefine/>
    <w:uiPriority w:val="39"/>
    <w:unhideWhenUsed/>
    <w:rsid w:val="001A0145"/>
    <w:pPr>
      <w:spacing w:after="0"/>
    </w:pPr>
  </w:style>
  <w:style w:type="paragraph" w:styleId="Sommario5">
    <w:name w:val="toc 5"/>
    <w:basedOn w:val="Normale"/>
    <w:next w:val="Normale"/>
    <w:autoRedefine/>
    <w:uiPriority w:val="39"/>
    <w:unhideWhenUsed/>
    <w:rsid w:val="001A0145"/>
    <w:pPr>
      <w:spacing w:after="0"/>
    </w:pPr>
  </w:style>
  <w:style w:type="paragraph" w:styleId="Sommario6">
    <w:name w:val="toc 6"/>
    <w:basedOn w:val="Normale"/>
    <w:next w:val="Normale"/>
    <w:autoRedefine/>
    <w:uiPriority w:val="39"/>
    <w:unhideWhenUsed/>
    <w:rsid w:val="001A0145"/>
    <w:pPr>
      <w:spacing w:after="0"/>
    </w:pPr>
  </w:style>
  <w:style w:type="paragraph" w:styleId="Sommario7">
    <w:name w:val="toc 7"/>
    <w:basedOn w:val="Normale"/>
    <w:next w:val="Normale"/>
    <w:autoRedefine/>
    <w:uiPriority w:val="39"/>
    <w:unhideWhenUsed/>
    <w:rsid w:val="001A0145"/>
    <w:pPr>
      <w:spacing w:after="0"/>
    </w:pPr>
  </w:style>
  <w:style w:type="paragraph" w:styleId="Sommario8">
    <w:name w:val="toc 8"/>
    <w:basedOn w:val="Normale"/>
    <w:next w:val="Normale"/>
    <w:autoRedefine/>
    <w:uiPriority w:val="39"/>
    <w:unhideWhenUsed/>
    <w:rsid w:val="001A0145"/>
    <w:pPr>
      <w:spacing w:after="0"/>
    </w:pPr>
  </w:style>
  <w:style w:type="paragraph" w:styleId="Sommario9">
    <w:name w:val="toc 9"/>
    <w:basedOn w:val="Normale"/>
    <w:next w:val="Normale"/>
    <w:autoRedefine/>
    <w:uiPriority w:val="39"/>
    <w:unhideWhenUsed/>
    <w:rsid w:val="001A0145"/>
    <w:pPr>
      <w:spacing w:after="0"/>
    </w:pPr>
  </w:style>
  <w:style w:type="table" w:styleId="Grigliatabella">
    <w:name w:val="Table Grid"/>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fondochiaro-Colore5">
    <w:name w:val="Light Shading Accent 5"/>
    <w:basedOn w:val="Tabellanormale"/>
    <w:uiPriority w:val="60"/>
    <w:rsid w:val="008F06F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Grigliachiara-Colore5">
    <w:name w:val="Light Grid Accent 5"/>
    <w:uiPriority w:val="62"/>
    <w:rsid w:val="00D4736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Paragrafoelenco">
    <w:name w:val="List Paragraph"/>
    <w:basedOn w:val="Normale"/>
    <w:uiPriority w:val="99"/>
    <w:qFormat/>
    <w:rsid w:val="00DA6A6B"/>
    <w:pPr>
      <w:ind w:left="720"/>
      <w:contextualSpacing/>
    </w:pPr>
  </w:style>
  <w:style w:type="character" w:customStyle="1" w:styleId="postbody1">
    <w:name w:val="postbody1"/>
    <w:rsid w:val="00551F51"/>
    <w:rPr>
      <w:rFonts w:cs="Times New Roman"/>
      <w:sz w:val="18"/>
      <w:szCs w:val="18"/>
    </w:rPr>
  </w:style>
  <w:style w:type="table" w:styleId="Sfondomedio1-Colore5">
    <w:name w:val="Medium Shading 1 Accent 5"/>
    <w:basedOn w:val="Tabellanormale"/>
    <w:uiPriority w:val="63"/>
    <w:rsid w:val="008A27C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BodyTextIndent1">
    <w:name w:val="Body Text Indent1"/>
    <w:basedOn w:val="Normale"/>
    <w:uiPriority w:val="99"/>
    <w:rsid w:val="000E00D2"/>
    <w:pPr>
      <w:suppressAutoHyphens/>
      <w:spacing w:after="0" w:line="264" w:lineRule="auto"/>
      <w:ind w:firstLine="708"/>
    </w:pPr>
    <w:rPr>
      <w:rFonts w:ascii="Times New Roman" w:eastAsia="Calibri" w:hAnsi="Times New Roman" w:cs="Times New Roman"/>
      <w:color w:val="FF0000"/>
      <w:sz w:val="20"/>
      <w:szCs w:val="20"/>
      <w:lang w:eastAsia="ar-SA"/>
    </w:rPr>
  </w:style>
  <w:style w:type="paragraph" w:styleId="Testonormale">
    <w:name w:val="Plain Text"/>
    <w:basedOn w:val="Normale"/>
    <w:link w:val="TestonormaleCarattere"/>
    <w:uiPriority w:val="99"/>
    <w:unhideWhenUsed/>
    <w:rsid w:val="00AE588C"/>
    <w:pPr>
      <w:spacing w:after="0" w:line="240" w:lineRule="auto"/>
      <w:jc w:val="left"/>
    </w:pPr>
    <w:rPr>
      <w:rFonts w:ascii="Calibri" w:hAnsi="Calibri" w:cs="Consolas"/>
      <w:szCs w:val="21"/>
    </w:rPr>
  </w:style>
  <w:style w:type="character" w:customStyle="1" w:styleId="TestonormaleCarattere">
    <w:name w:val="Testo normale Carattere"/>
    <w:basedOn w:val="Carpredefinitoparagrafo"/>
    <w:link w:val="Testonormale"/>
    <w:uiPriority w:val="99"/>
    <w:rsid w:val="00AE588C"/>
    <w:rPr>
      <w:rFonts w:ascii="Calibri" w:hAnsi="Calibri" w:cs="Consolas"/>
      <w:szCs w:val="21"/>
    </w:rPr>
  </w:style>
  <w:style w:type="paragraph" w:customStyle="1" w:styleId="DD-CorpodeltestoCarattere">
    <w:name w:val="D&amp;D - Corpo del testo Carattere"/>
    <w:basedOn w:val="Normale"/>
    <w:link w:val="DD-CorpodeltestoCarattereCarattere"/>
    <w:autoRedefine/>
    <w:rsid w:val="00032B96"/>
    <w:pPr>
      <w:spacing w:after="0" w:line="360" w:lineRule="auto"/>
    </w:pPr>
    <w:rPr>
      <w:rFonts w:ascii="Verdana" w:eastAsia="Times New Roman" w:hAnsi="Verdana" w:cs="Times New Roman"/>
      <w:color w:val="595959"/>
      <w:lang w:val="x-none"/>
    </w:rPr>
  </w:style>
  <w:style w:type="character" w:customStyle="1" w:styleId="DD-CorpodeltestoCarattereCarattere">
    <w:name w:val="D&amp;D - Corpo del testo Carattere Carattere"/>
    <w:link w:val="DD-CorpodeltestoCarattere"/>
    <w:rsid w:val="00032B96"/>
    <w:rPr>
      <w:rFonts w:ascii="Verdana" w:eastAsia="Times New Roman" w:hAnsi="Verdana" w:cs="Times New Roman"/>
      <w:color w:val="595959"/>
      <w:lang w:val="x-none"/>
    </w:rPr>
  </w:style>
  <w:style w:type="character" w:styleId="Testosegnaposto">
    <w:name w:val="Placeholder Text"/>
    <w:basedOn w:val="Carpredefinitoparagrafo"/>
    <w:uiPriority w:val="99"/>
    <w:semiHidden/>
    <w:rsid w:val="000F7E5D"/>
    <w:rPr>
      <w:color w:val="808080"/>
    </w:rPr>
  </w:style>
  <w:style w:type="paragraph" w:customStyle="1" w:styleId="western">
    <w:name w:val="western"/>
    <w:basedOn w:val="Normale"/>
    <w:rsid w:val="00F20DD7"/>
    <w:pPr>
      <w:spacing w:before="100" w:beforeAutospacing="1" w:after="142" w:line="288" w:lineRule="auto"/>
    </w:pPr>
    <w:rPr>
      <w:rFonts w:ascii="Calibri" w:eastAsia="Times New Roman" w:hAnsi="Calibri" w:cs="Times New Roman"/>
      <w:lang w:eastAsia="it-IT"/>
    </w:rPr>
  </w:style>
  <w:style w:type="paragraph" w:customStyle="1" w:styleId="western1">
    <w:name w:val="western1"/>
    <w:basedOn w:val="Normale"/>
    <w:rsid w:val="00F20DD7"/>
    <w:pPr>
      <w:spacing w:before="100" w:beforeAutospacing="1" w:after="0" w:line="288" w:lineRule="auto"/>
    </w:pPr>
    <w:rPr>
      <w:rFonts w:ascii="Calibri" w:eastAsia="Times New Roman" w:hAnsi="Calibri" w:cs="Times New Roman"/>
      <w:lang w:eastAsia="it-IT"/>
    </w:rPr>
  </w:style>
  <w:style w:type="table" w:customStyle="1" w:styleId="Grigliachiara-Colore51">
    <w:name w:val="Griglia chiara - Colore 51"/>
    <w:next w:val="Grigliachiara-Colore5"/>
    <w:uiPriority w:val="62"/>
    <w:rsid w:val="00BC4D1D"/>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59829">
      <w:bodyDiv w:val="1"/>
      <w:marLeft w:val="0"/>
      <w:marRight w:val="0"/>
      <w:marTop w:val="0"/>
      <w:marBottom w:val="0"/>
      <w:divBdr>
        <w:top w:val="none" w:sz="0" w:space="0" w:color="auto"/>
        <w:left w:val="none" w:sz="0" w:space="0" w:color="auto"/>
        <w:bottom w:val="none" w:sz="0" w:space="0" w:color="auto"/>
        <w:right w:val="none" w:sz="0" w:space="0" w:color="auto"/>
      </w:divBdr>
      <w:divsChild>
        <w:div w:id="1350717359">
          <w:marLeft w:val="0"/>
          <w:marRight w:val="0"/>
          <w:marTop w:val="0"/>
          <w:marBottom w:val="0"/>
          <w:divBdr>
            <w:top w:val="none" w:sz="0" w:space="0" w:color="auto"/>
            <w:left w:val="none" w:sz="0" w:space="0" w:color="auto"/>
            <w:bottom w:val="none" w:sz="0" w:space="0" w:color="auto"/>
            <w:right w:val="none" w:sz="0" w:space="0" w:color="auto"/>
          </w:divBdr>
        </w:div>
        <w:div w:id="85537253">
          <w:marLeft w:val="0"/>
          <w:marRight w:val="0"/>
          <w:marTop w:val="0"/>
          <w:marBottom w:val="0"/>
          <w:divBdr>
            <w:top w:val="none" w:sz="0" w:space="0" w:color="auto"/>
            <w:left w:val="none" w:sz="0" w:space="0" w:color="auto"/>
            <w:bottom w:val="none" w:sz="0" w:space="0" w:color="auto"/>
            <w:right w:val="none" w:sz="0" w:space="0" w:color="auto"/>
          </w:divBdr>
        </w:div>
        <w:div w:id="736787344">
          <w:marLeft w:val="0"/>
          <w:marRight w:val="0"/>
          <w:marTop w:val="0"/>
          <w:marBottom w:val="0"/>
          <w:divBdr>
            <w:top w:val="none" w:sz="0" w:space="0" w:color="auto"/>
            <w:left w:val="none" w:sz="0" w:space="0" w:color="auto"/>
            <w:bottom w:val="none" w:sz="0" w:space="0" w:color="auto"/>
            <w:right w:val="none" w:sz="0" w:space="0" w:color="auto"/>
          </w:divBdr>
        </w:div>
      </w:divsChild>
    </w:div>
    <w:div w:id="147283738">
      <w:bodyDiv w:val="1"/>
      <w:marLeft w:val="0"/>
      <w:marRight w:val="0"/>
      <w:marTop w:val="0"/>
      <w:marBottom w:val="0"/>
      <w:divBdr>
        <w:top w:val="none" w:sz="0" w:space="0" w:color="auto"/>
        <w:left w:val="none" w:sz="0" w:space="0" w:color="auto"/>
        <w:bottom w:val="none" w:sz="0" w:space="0" w:color="auto"/>
        <w:right w:val="none" w:sz="0" w:space="0" w:color="auto"/>
      </w:divBdr>
    </w:div>
    <w:div w:id="215354582">
      <w:bodyDiv w:val="1"/>
      <w:marLeft w:val="0"/>
      <w:marRight w:val="0"/>
      <w:marTop w:val="0"/>
      <w:marBottom w:val="0"/>
      <w:divBdr>
        <w:top w:val="none" w:sz="0" w:space="0" w:color="auto"/>
        <w:left w:val="none" w:sz="0" w:space="0" w:color="auto"/>
        <w:bottom w:val="none" w:sz="0" w:space="0" w:color="auto"/>
        <w:right w:val="none" w:sz="0" w:space="0" w:color="auto"/>
      </w:divBdr>
    </w:div>
    <w:div w:id="351928931">
      <w:bodyDiv w:val="1"/>
      <w:marLeft w:val="0"/>
      <w:marRight w:val="0"/>
      <w:marTop w:val="0"/>
      <w:marBottom w:val="0"/>
      <w:divBdr>
        <w:top w:val="none" w:sz="0" w:space="0" w:color="auto"/>
        <w:left w:val="none" w:sz="0" w:space="0" w:color="auto"/>
        <w:bottom w:val="none" w:sz="0" w:space="0" w:color="auto"/>
        <w:right w:val="none" w:sz="0" w:space="0" w:color="auto"/>
      </w:divBdr>
    </w:div>
    <w:div w:id="455833155">
      <w:bodyDiv w:val="1"/>
      <w:marLeft w:val="0"/>
      <w:marRight w:val="0"/>
      <w:marTop w:val="0"/>
      <w:marBottom w:val="0"/>
      <w:divBdr>
        <w:top w:val="none" w:sz="0" w:space="0" w:color="auto"/>
        <w:left w:val="none" w:sz="0" w:space="0" w:color="auto"/>
        <w:bottom w:val="none" w:sz="0" w:space="0" w:color="auto"/>
        <w:right w:val="none" w:sz="0" w:space="0" w:color="auto"/>
      </w:divBdr>
    </w:div>
    <w:div w:id="622465306">
      <w:bodyDiv w:val="1"/>
      <w:marLeft w:val="0"/>
      <w:marRight w:val="0"/>
      <w:marTop w:val="0"/>
      <w:marBottom w:val="0"/>
      <w:divBdr>
        <w:top w:val="none" w:sz="0" w:space="0" w:color="auto"/>
        <w:left w:val="none" w:sz="0" w:space="0" w:color="auto"/>
        <w:bottom w:val="none" w:sz="0" w:space="0" w:color="auto"/>
        <w:right w:val="none" w:sz="0" w:space="0" w:color="auto"/>
      </w:divBdr>
    </w:div>
    <w:div w:id="711996597">
      <w:bodyDiv w:val="1"/>
      <w:marLeft w:val="0"/>
      <w:marRight w:val="0"/>
      <w:marTop w:val="0"/>
      <w:marBottom w:val="0"/>
      <w:divBdr>
        <w:top w:val="none" w:sz="0" w:space="0" w:color="auto"/>
        <w:left w:val="none" w:sz="0" w:space="0" w:color="auto"/>
        <w:bottom w:val="none" w:sz="0" w:space="0" w:color="auto"/>
        <w:right w:val="none" w:sz="0" w:space="0" w:color="auto"/>
      </w:divBdr>
    </w:div>
    <w:div w:id="747507129">
      <w:bodyDiv w:val="1"/>
      <w:marLeft w:val="0"/>
      <w:marRight w:val="0"/>
      <w:marTop w:val="0"/>
      <w:marBottom w:val="0"/>
      <w:divBdr>
        <w:top w:val="none" w:sz="0" w:space="0" w:color="auto"/>
        <w:left w:val="none" w:sz="0" w:space="0" w:color="auto"/>
        <w:bottom w:val="none" w:sz="0" w:space="0" w:color="auto"/>
        <w:right w:val="none" w:sz="0" w:space="0" w:color="auto"/>
      </w:divBdr>
    </w:div>
    <w:div w:id="786504561">
      <w:bodyDiv w:val="1"/>
      <w:marLeft w:val="0"/>
      <w:marRight w:val="0"/>
      <w:marTop w:val="0"/>
      <w:marBottom w:val="0"/>
      <w:divBdr>
        <w:top w:val="none" w:sz="0" w:space="0" w:color="auto"/>
        <w:left w:val="none" w:sz="0" w:space="0" w:color="auto"/>
        <w:bottom w:val="none" w:sz="0" w:space="0" w:color="auto"/>
        <w:right w:val="none" w:sz="0" w:space="0" w:color="auto"/>
      </w:divBdr>
      <w:divsChild>
        <w:div w:id="1671637479">
          <w:marLeft w:val="0"/>
          <w:marRight w:val="0"/>
          <w:marTop w:val="0"/>
          <w:marBottom w:val="0"/>
          <w:divBdr>
            <w:top w:val="none" w:sz="0" w:space="0" w:color="auto"/>
            <w:left w:val="none" w:sz="0" w:space="0" w:color="auto"/>
            <w:bottom w:val="none" w:sz="0" w:space="0" w:color="auto"/>
            <w:right w:val="none" w:sz="0" w:space="0" w:color="auto"/>
          </w:divBdr>
        </w:div>
        <w:div w:id="637227036">
          <w:marLeft w:val="0"/>
          <w:marRight w:val="0"/>
          <w:marTop w:val="0"/>
          <w:marBottom w:val="0"/>
          <w:divBdr>
            <w:top w:val="none" w:sz="0" w:space="0" w:color="auto"/>
            <w:left w:val="none" w:sz="0" w:space="0" w:color="auto"/>
            <w:bottom w:val="none" w:sz="0" w:space="0" w:color="auto"/>
            <w:right w:val="none" w:sz="0" w:space="0" w:color="auto"/>
          </w:divBdr>
        </w:div>
        <w:div w:id="1867984635">
          <w:marLeft w:val="0"/>
          <w:marRight w:val="0"/>
          <w:marTop w:val="0"/>
          <w:marBottom w:val="0"/>
          <w:divBdr>
            <w:top w:val="none" w:sz="0" w:space="0" w:color="auto"/>
            <w:left w:val="none" w:sz="0" w:space="0" w:color="auto"/>
            <w:bottom w:val="none" w:sz="0" w:space="0" w:color="auto"/>
            <w:right w:val="none" w:sz="0" w:space="0" w:color="auto"/>
          </w:divBdr>
        </w:div>
        <w:div w:id="2063360315">
          <w:marLeft w:val="0"/>
          <w:marRight w:val="0"/>
          <w:marTop w:val="0"/>
          <w:marBottom w:val="0"/>
          <w:divBdr>
            <w:top w:val="none" w:sz="0" w:space="0" w:color="auto"/>
            <w:left w:val="none" w:sz="0" w:space="0" w:color="auto"/>
            <w:bottom w:val="none" w:sz="0" w:space="0" w:color="auto"/>
            <w:right w:val="none" w:sz="0" w:space="0" w:color="auto"/>
          </w:divBdr>
        </w:div>
        <w:div w:id="652566511">
          <w:marLeft w:val="0"/>
          <w:marRight w:val="0"/>
          <w:marTop w:val="0"/>
          <w:marBottom w:val="0"/>
          <w:divBdr>
            <w:top w:val="none" w:sz="0" w:space="0" w:color="auto"/>
            <w:left w:val="none" w:sz="0" w:space="0" w:color="auto"/>
            <w:bottom w:val="none" w:sz="0" w:space="0" w:color="auto"/>
            <w:right w:val="none" w:sz="0" w:space="0" w:color="auto"/>
          </w:divBdr>
        </w:div>
        <w:div w:id="1944266029">
          <w:marLeft w:val="0"/>
          <w:marRight w:val="0"/>
          <w:marTop w:val="0"/>
          <w:marBottom w:val="0"/>
          <w:divBdr>
            <w:top w:val="none" w:sz="0" w:space="0" w:color="auto"/>
            <w:left w:val="none" w:sz="0" w:space="0" w:color="auto"/>
            <w:bottom w:val="none" w:sz="0" w:space="0" w:color="auto"/>
            <w:right w:val="none" w:sz="0" w:space="0" w:color="auto"/>
          </w:divBdr>
        </w:div>
        <w:div w:id="1146319320">
          <w:marLeft w:val="0"/>
          <w:marRight w:val="0"/>
          <w:marTop w:val="0"/>
          <w:marBottom w:val="0"/>
          <w:divBdr>
            <w:top w:val="none" w:sz="0" w:space="0" w:color="auto"/>
            <w:left w:val="none" w:sz="0" w:space="0" w:color="auto"/>
            <w:bottom w:val="none" w:sz="0" w:space="0" w:color="auto"/>
            <w:right w:val="none" w:sz="0" w:space="0" w:color="auto"/>
          </w:divBdr>
        </w:div>
        <w:div w:id="435756942">
          <w:marLeft w:val="0"/>
          <w:marRight w:val="0"/>
          <w:marTop w:val="0"/>
          <w:marBottom w:val="0"/>
          <w:divBdr>
            <w:top w:val="none" w:sz="0" w:space="0" w:color="auto"/>
            <w:left w:val="none" w:sz="0" w:space="0" w:color="auto"/>
            <w:bottom w:val="none" w:sz="0" w:space="0" w:color="auto"/>
            <w:right w:val="none" w:sz="0" w:space="0" w:color="auto"/>
          </w:divBdr>
        </w:div>
        <w:div w:id="476797971">
          <w:marLeft w:val="0"/>
          <w:marRight w:val="0"/>
          <w:marTop w:val="0"/>
          <w:marBottom w:val="0"/>
          <w:divBdr>
            <w:top w:val="none" w:sz="0" w:space="0" w:color="auto"/>
            <w:left w:val="none" w:sz="0" w:space="0" w:color="auto"/>
            <w:bottom w:val="none" w:sz="0" w:space="0" w:color="auto"/>
            <w:right w:val="none" w:sz="0" w:space="0" w:color="auto"/>
          </w:divBdr>
        </w:div>
        <w:div w:id="1957326070">
          <w:marLeft w:val="0"/>
          <w:marRight w:val="0"/>
          <w:marTop w:val="0"/>
          <w:marBottom w:val="0"/>
          <w:divBdr>
            <w:top w:val="none" w:sz="0" w:space="0" w:color="auto"/>
            <w:left w:val="none" w:sz="0" w:space="0" w:color="auto"/>
            <w:bottom w:val="none" w:sz="0" w:space="0" w:color="auto"/>
            <w:right w:val="none" w:sz="0" w:space="0" w:color="auto"/>
          </w:divBdr>
        </w:div>
        <w:div w:id="824246351">
          <w:marLeft w:val="0"/>
          <w:marRight w:val="0"/>
          <w:marTop w:val="0"/>
          <w:marBottom w:val="0"/>
          <w:divBdr>
            <w:top w:val="none" w:sz="0" w:space="0" w:color="auto"/>
            <w:left w:val="none" w:sz="0" w:space="0" w:color="auto"/>
            <w:bottom w:val="none" w:sz="0" w:space="0" w:color="auto"/>
            <w:right w:val="none" w:sz="0" w:space="0" w:color="auto"/>
          </w:divBdr>
        </w:div>
        <w:div w:id="1702053075">
          <w:marLeft w:val="0"/>
          <w:marRight w:val="0"/>
          <w:marTop w:val="0"/>
          <w:marBottom w:val="0"/>
          <w:divBdr>
            <w:top w:val="none" w:sz="0" w:space="0" w:color="auto"/>
            <w:left w:val="none" w:sz="0" w:space="0" w:color="auto"/>
            <w:bottom w:val="none" w:sz="0" w:space="0" w:color="auto"/>
            <w:right w:val="none" w:sz="0" w:space="0" w:color="auto"/>
          </w:divBdr>
        </w:div>
        <w:div w:id="1617061909">
          <w:marLeft w:val="0"/>
          <w:marRight w:val="0"/>
          <w:marTop w:val="0"/>
          <w:marBottom w:val="0"/>
          <w:divBdr>
            <w:top w:val="none" w:sz="0" w:space="0" w:color="auto"/>
            <w:left w:val="none" w:sz="0" w:space="0" w:color="auto"/>
            <w:bottom w:val="none" w:sz="0" w:space="0" w:color="auto"/>
            <w:right w:val="none" w:sz="0" w:space="0" w:color="auto"/>
          </w:divBdr>
        </w:div>
        <w:div w:id="60756681">
          <w:marLeft w:val="0"/>
          <w:marRight w:val="0"/>
          <w:marTop w:val="0"/>
          <w:marBottom w:val="0"/>
          <w:divBdr>
            <w:top w:val="none" w:sz="0" w:space="0" w:color="auto"/>
            <w:left w:val="none" w:sz="0" w:space="0" w:color="auto"/>
            <w:bottom w:val="none" w:sz="0" w:space="0" w:color="auto"/>
            <w:right w:val="none" w:sz="0" w:space="0" w:color="auto"/>
          </w:divBdr>
        </w:div>
        <w:div w:id="703215557">
          <w:marLeft w:val="0"/>
          <w:marRight w:val="0"/>
          <w:marTop w:val="0"/>
          <w:marBottom w:val="0"/>
          <w:divBdr>
            <w:top w:val="none" w:sz="0" w:space="0" w:color="auto"/>
            <w:left w:val="none" w:sz="0" w:space="0" w:color="auto"/>
            <w:bottom w:val="none" w:sz="0" w:space="0" w:color="auto"/>
            <w:right w:val="none" w:sz="0" w:space="0" w:color="auto"/>
          </w:divBdr>
        </w:div>
        <w:div w:id="470294419">
          <w:marLeft w:val="0"/>
          <w:marRight w:val="0"/>
          <w:marTop w:val="0"/>
          <w:marBottom w:val="0"/>
          <w:divBdr>
            <w:top w:val="none" w:sz="0" w:space="0" w:color="auto"/>
            <w:left w:val="none" w:sz="0" w:space="0" w:color="auto"/>
            <w:bottom w:val="none" w:sz="0" w:space="0" w:color="auto"/>
            <w:right w:val="none" w:sz="0" w:space="0" w:color="auto"/>
          </w:divBdr>
        </w:div>
        <w:div w:id="1438208378">
          <w:marLeft w:val="0"/>
          <w:marRight w:val="0"/>
          <w:marTop w:val="0"/>
          <w:marBottom w:val="0"/>
          <w:divBdr>
            <w:top w:val="none" w:sz="0" w:space="0" w:color="auto"/>
            <w:left w:val="none" w:sz="0" w:space="0" w:color="auto"/>
            <w:bottom w:val="none" w:sz="0" w:space="0" w:color="auto"/>
            <w:right w:val="none" w:sz="0" w:space="0" w:color="auto"/>
          </w:divBdr>
        </w:div>
        <w:div w:id="1542355704">
          <w:marLeft w:val="0"/>
          <w:marRight w:val="0"/>
          <w:marTop w:val="0"/>
          <w:marBottom w:val="0"/>
          <w:divBdr>
            <w:top w:val="none" w:sz="0" w:space="0" w:color="auto"/>
            <w:left w:val="none" w:sz="0" w:space="0" w:color="auto"/>
            <w:bottom w:val="none" w:sz="0" w:space="0" w:color="auto"/>
            <w:right w:val="none" w:sz="0" w:space="0" w:color="auto"/>
          </w:divBdr>
        </w:div>
        <w:div w:id="895048656">
          <w:marLeft w:val="0"/>
          <w:marRight w:val="0"/>
          <w:marTop w:val="0"/>
          <w:marBottom w:val="0"/>
          <w:divBdr>
            <w:top w:val="none" w:sz="0" w:space="0" w:color="auto"/>
            <w:left w:val="none" w:sz="0" w:space="0" w:color="auto"/>
            <w:bottom w:val="none" w:sz="0" w:space="0" w:color="auto"/>
            <w:right w:val="none" w:sz="0" w:space="0" w:color="auto"/>
          </w:divBdr>
        </w:div>
        <w:div w:id="1583103190">
          <w:marLeft w:val="0"/>
          <w:marRight w:val="0"/>
          <w:marTop w:val="0"/>
          <w:marBottom w:val="0"/>
          <w:divBdr>
            <w:top w:val="none" w:sz="0" w:space="0" w:color="auto"/>
            <w:left w:val="none" w:sz="0" w:space="0" w:color="auto"/>
            <w:bottom w:val="none" w:sz="0" w:space="0" w:color="auto"/>
            <w:right w:val="none" w:sz="0" w:space="0" w:color="auto"/>
          </w:divBdr>
        </w:div>
        <w:div w:id="180552007">
          <w:marLeft w:val="0"/>
          <w:marRight w:val="0"/>
          <w:marTop w:val="0"/>
          <w:marBottom w:val="0"/>
          <w:divBdr>
            <w:top w:val="none" w:sz="0" w:space="0" w:color="auto"/>
            <w:left w:val="none" w:sz="0" w:space="0" w:color="auto"/>
            <w:bottom w:val="none" w:sz="0" w:space="0" w:color="auto"/>
            <w:right w:val="none" w:sz="0" w:space="0" w:color="auto"/>
          </w:divBdr>
        </w:div>
        <w:div w:id="400911909">
          <w:marLeft w:val="0"/>
          <w:marRight w:val="0"/>
          <w:marTop w:val="0"/>
          <w:marBottom w:val="0"/>
          <w:divBdr>
            <w:top w:val="none" w:sz="0" w:space="0" w:color="auto"/>
            <w:left w:val="none" w:sz="0" w:space="0" w:color="auto"/>
            <w:bottom w:val="none" w:sz="0" w:space="0" w:color="auto"/>
            <w:right w:val="none" w:sz="0" w:space="0" w:color="auto"/>
          </w:divBdr>
        </w:div>
        <w:div w:id="457993051">
          <w:marLeft w:val="0"/>
          <w:marRight w:val="0"/>
          <w:marTop w:val="0"/>
          <w:marBottom w:val="0"/>
          <w:divBdr>
            <w:top w:val="none" w:sz="0" w:space="0" w:color="auto"/>
            <w:left w:val="none" w:sz="0" w:space="0" w:color="auto"/>
            <w:bottom w:val="none" w:sz="0" w:space="0" w:color="auto"/>
            <w:right w:val="none" w:sz="0" w:space="0" w:color="auto"/>
          </w:divBdr>
        </w:div>
        <w:div w:id="886722992">
          <w:marLeft w:val="0"/>
          <w:marRight w:val="0"/>
          <w:marTop w:val="0"/>
          <w:marBottom w:val="0"/>
          <w:divBdr>
            <w:top w:val="none" w:sz="0" w:space="0" w:color="auto"/>
            <w:left w:val="none" w:sz="0" w:space="0" w:color="auto"/>
            <w:bottom w:val="none" w:sz="0" w:space="0" w:color="auto"/>
            <w:right w:val="none" w:sz="0" w:space="0" w:color="auto"/>
          </w:divBdr>
        </w:div>
        <w:div w:id="1978686107">
          <w:marLeft w:val="0"/>
          <w:marRight w:val="0"/>
          <w:marTop w:val="0"/>
          <w:marBottom w:val="0"/>
          <w:divBdr>
            <w:top w:val="none" w:sz="0" w:space="0" w:color="auto"/>
            <w:left w:val="none" w:sz="0" w:space="0" w:color="auto"/>
            <w:bottom w:val="none" w:sz="0" w:space="0" w:color="auto"/>
            <w:right w:val="none" w:sz="0" w:space="0" w:color="auto"/>
          </w:divBdr>
        </w:div>
        <w:div w:id="2108572160">
          <w:marLeft w:val="0"/>
          <w:marRight w:val="0"/>
          <w:marTop w:val="0"/>
          <w:marBottom w:val="0"/>
          <w:divBdr>
            <w:top w:val="none" w:sz="0" w:space="0" w:color="auto"/>
            <w:left w:val="none" w:sz="0" w:space="0" w:color="auto"/>
            <w:bottom w:val="none" w:sz="0" w:space="0" w:color="auto"/>
            <w:right w:val="none" w:sz="0" w:space="0" w:color="auto"/>
          </w:divBdr>
        </w:div>
        <w:div w:id="486046561">
          <w:marLeft w:val="0"/>
          <w:marRight w:val="0"/>
          <w:marTop w:val="0"/>
          <w:marBottom w:val="0"/>
          <w:divBdr>
            <w:top w:val="none" w:sz="0" w:space="0" w:color="auto"/>
            <w:left w:val="none" w:sz="0" w:space="0" w:color="auto"/>
            <w:bottom w:val="none" w:sz="0" w:space="0" w:color="auto"/>
            <w:right w:val="none" w:sz="0" w:space="0" w:color="auto"/>
          </w:divBdr>
        </w:div>
        <w:div w:id="1918510960">
          <w:marLeft w:val="0"/>
          <w:marRight w:val="0"/>
          <w:marTop w:val="0"/>
          <w:marBottom w:val="0"/>
          <w:divBdr>
            <w:top w:val="none" w:sz="0" w:space="0" w:color="auto"/>
            <w:left w:val="none" w:sz="0" w:space="0" w:color="auto"/>
            <w:bottom w:val="none" w:sz="0" w:space="0" w:color="auto"/>
            <w:right w:val="none" w:sz="0" w:space="0" w:color="auto"/>
          </w:divBdr>
        </w:div>
        <w:div w:id="120267811">
          <w:marLeft w:val="0"/>
          <w:marRight w:val="0"/>
          <w:marTop w:val="0"/>
          <w:marBottom w:val="0"/>
          <w:divBdr>
            <w:top w:val="none" w:sz="0" w:space="0" w:color="auto"/>
            <w:left w:val="none" w:sz="0" w:space="0" w:color="auto"/>
            <w:bottom w:val="none" w:sz="0" w:space="0" w:color="auto"/>
            <w:right w:val="none" w:sz="0" w:space="0" w:color="auto"/>
          </w:divBdr>
        </w:div>
        <w:div w:id="1861432871">
          <w:marLeft w:val="0"/>
          <w:marRight w:val="0"/>
          <w:marTop w:val="0"/>
          <w:marBottom w:val="0"/>
          <w:divBdr>
            <w:top w:val="none" w:sz="0" w:space="0" w:color="auto"/>
            <w:left w:val="none" w:sz="0" w:space="0" w:color="auto"/>
            <w:bottom w:val="none" w:sz="0" w:space="0" w:color="auto"/>
            <w:right w:val="none" w:sz="0" w:space="0" w:color="auto"/>
          </w:divBdr>
        </w:div>
        <w:div w:id="121388464">
          <w:marLeft w:val="0"/>
          <w:marRight w:val="0"/>
          <w:marTop w:val="0"/>
          <w:marBottom w:val="0"/>
          <w:divBdr>
            <w:top w:val="none" w:sz="0" w:space="0" w:color="auto"/>
            <w:left w:val="none" w:sz="0" w:space="0" w:color="auto"/>
            <w:bottom w:val="none" w:sz="0" w:space="0" w:color="auto"/>
            <w:right w:val="none" w:sz="0" w:space="0" w:color="auto"/>
          </w:divBdr>
        </w:div>
        <w:div w:id="342710835">
          <w:marLeft w:val="0"/>
          <w:marRight w:val="0"/>
          <w:marTop w:val="0"/>
          <w:marBottom w:val="0"/>
          <w:divBdr>
            <w:top w:val="none" w:sz="0" w:space="0" w:color="auto"/>
            <w:left w:val="none" w:sz="0" w:space="0" w:color="auto"/>
            <w:bottom w:val="none" w:sz="0" w:space="0" w:color="auto"/>
            <w:right w:val="none" w:sz="0" w:space="0" w:color="auto"/>
          </w:divBdr>
        </w:div>
        <w:div w:id="104737089">
          <w:marLeft w:val="0"/>
          <w:marRight w:val="0"/>
          <w:marTop w:val="0"/>
          <w:marBottom w:val="0"/>
          <w:divBdr>
            <w:top w:val="none" w:sz="0" w:space="0" w:color="auto"/>
            <w:left w:val="none" w:sz="0" w:space="0" w:color="auto"/>
            <w:bottom w:val="none" w:sz="0" w:space="0" w:color="auto"/>
            <w:right w:val="none" w:sz="0" w:space="0" w:color="auto"/>
          </w:divBdr>
        </w:div>
        <w:div w:id="1113206433">
          <w:marLeft w:val="0"/>
          <w:marRight w:val="0"/>
          <w:marTop w:val="0"/>
          <w:marBottom w:val="0"/>
          <w:divBdr>
            <w:top w:val="none" w:sz="0" w:space="0" w:color="auto"/>
            <w:left w:val="none" w:sz="0" w:space="0" w:color="auto"/>
            <w:bottom w:val="none" w:sz="0" w:space="0" w:color="auto"/>
            <w:right w:val="none" w:sz="0" w:space="0" w:color="auto"/>
          </w:divBdr>
        </w:div>
        <w:div w:id="1820534490">
          <w:marLeft w:val="0"/>
          <w:marRight w:val="0"/>
          <w:marTop w:val="0"/>
          <w:marBottom w:val="0"/>
          <w:divBdr>
            <w:top w:val="none" w:sz="0" w:space="0" w:color="auto"/>
            <w:left w:val="none" w:sz="0" w:space="0" w:color="auto"/>
            <w:bottom w:val="none" w:sz="0" w:space="0" w:color="auto"/>
            <w:right w:val="none" w:sz="0" w:space="0" w:color="auto"/>
          </w:divBdr>
        </w:div>
        <w:div w:id="2094426463">
          <w:marLeft w:val="0"/>
          <w:marRight w:val="0"/>
          <w:marTop w:val="0"/>
          <w:marBottom w:val="0"/>
          <w:divBdr>
            <w:top w:val="none" w:sz="0" w:space="0" w:color="auto"/>
            <w:left w:val="none" w:sz="0" w:space="0" w:color="auto"/>
            <w:bottom w:val="none" w:sz="0" w:space="0" w:color="auto"/>
            <w:right w:val="none" w:sz="0" w:space="0" w:color="auto"/>
          </w:divBdr>
        </w:div>
        <w:div w:id="307326985">
          <w:marLeft w:val="0"/>
          <w:marRight w:val="0"/>
          <w:marTop w:val="0"/>
          <w:marBottom w:val="0"/>
          <w:divBdr>
            <w:top w:val="none" w:sz="0" w:space="0" w:color="auto"/>
            <w:left w:val="none" w:sz="0" w:space="0" w:color="auto"/>
            <w:bottom w:val="none" w:sz="0" w:space="0" w:color="auto"/>
            <w:right w:val="none" w:sz="0" w:space="0" w:color="auto"/>
          </w:divBdr>
        </w:div>
        <w:div w:id="1101755759">
          <w:marLeft w:val="0"/>
          <w:marRight w:val="0"/>
          <w:marTop w:val="0"/>
          <w:marBottom w:val="0"/>
          <w:divBdr>
            <w:top w:val="none" w:sz="0" w:space="0" w:color="auto"/>
            <w:left w:val="none" w:sz="0" w:space="0" w:color="auto"/>
            <w:bottom w:val="none" w:sz="0" w:space="0" w:color="auto"/>
            <w:right w:val="none" w:sz="0" w:space="0" w:color="auto"/>
          </w:divBdr>
        </w:div>
        <w:div w:id="1460761830">
          <w:marLeft w:val="0"/>
          <w:marRight w:val="0"/>
          <w:marTop w:val="0"/>
          <w:marBottom w:val="0"/>
          <w:divBdr>
            <w:top w:val="none" w:sz="0" w:space="0" w:color="auto"/>
            <w:left w:val="none" w:sz="0" w:space="0" w:color="auto"/>
            <w:bottom w:val="none" w:sz="0" w:space="0" w:color="auto"/>
            <w:right w:val="none" w:sz="0" w:space="0" w:color="auto"/>
          </w:divBdr>
        </w:div>
        <w:div w:id="1039471818">
          <w:marLeft w:val="0"/>
          <w:marRight w:val="0"/>
          <w:marTop w:val="0"/>
          <w:marBottom w:val="0"/>
          <w:divBdr>
            <w:top w:val="none" w:sz="0" w:space="0" w:color="auto"/>
            <w:left w:val="none" w:sz="0" w:space="0" w:color="auto"/>
            <w:bottom w:val="none" w:sz="0" w:space="0" w:color="auto"/>
            <w:right w:val="none" w:sz="0" w:space="0" w:color="auto"/>
          </w:divBdr>
        </w:div>
        <w:div w:id="454760795">
          <w:marLeft w:val="0"/>
          <w:marRight w:val="0"/>
          <w:marTop w:val="0"/>
          <w:marBottom w:val="0"/>
          <w:divBdr>
            <w:top w:val="none" w:sz="0" w:space="0" w:color="auto"/>
            <w:left w:val="none" w:sz="0" w:space="0" w:color="auto"/>
            <w:bottom w:val="none" w:sz="0" w:space="0" w:color="auto"/>
            <w:right w:val="none" w:sz="0" w:space="0" w:color="auto"/>
          </w:divBdr>
        </w:div>
        <w:div w:id="1437865746">
          <w:marLeft w:val="0"/>
          <w:marRight w:val="0"/>
          <w:marTop w:val="0"/>
          <w:marBottom w:val="0"/>
          <w:divBdr>
            <w:top w:val="none" w:sz="0" w:space="0" w:color="auto"/>
            <w:left w:val="none" w:sz="0" w:space="0" w:color="auto"/>
            <w:bottom w:val="none" w:sz="0" w:space="0" w:color="auto"/>
            <w:right w:val="none" w:sz="0" w:space="0" w:color="auto"/>
          </w:divBdr>
        </w:div>
      </w:divsChild>
    </w:div>
    <w:div w:id="818958036">
      <w:bodyDiv w:val="1"/>
      <w:marLeft w:val="0"/>
      <w:marRight w:val="0"/>
      <w:marTop w:val="0"/>
      <w:marBottom w:val="0"/>
      <w:divBdr>
        <w:top w:val="none" w:sz="0" w:space="0" w:color="auto"/>
        <w:left w:val="none" w:sz="0" w:space="0" w:color="auto"/>
        <w:bottom w:val="none" w:sz="0" w:space="0" w:color="auto"/>
        <w:right w:val="none" w:sz="0" w:space="0" w:color="auto"/>
      </w:divBdr>
    </w:div>
    <w:div w:id="849759977">
      <w:bodyDiv w:val="1"/>
      <w:marLeft w:val="0"/>
      <w:marRight w:val="0"/>
      <w:marTop w:val="0"/>
      <w:marBottom w:val="0"/>
      <w:divBdr>
        <w:top w:val="none" w:sz="0" w:space="0" w:color="auto"/>
        <w:left w:val="none" w:sz="0" w:space="0" w:color="auto"/>
        <w:bottom w:val="none" w:sz="0" w:space="0" w:color="auto"/>
        <w:right w:val="none" w:sz="0" w:space="0" w:color="auto"/>
      </w:divBdr>
    </w:div>
    <w:div w:id="947199233">
      <w:bodyDiv w:val="1"/>
      <w:marLeft w:val="0"/>
      <w:marRight w:val="0"/>
      <w:marTop w:val="0"/>
      <w:marBottom w:val="0"/>
      <w:divBdr>
        <w:top w:val="none" w:sz="0" w:space="0" w:color="auto"/>
        <w:left w:val="none" w:sz="0" w:space="0" w:color="auto"/>
        <w:bottom w:val="none" w:sz="0" w:space="0" w:color="auto"/>
        <w:right w:val="none" w:sz="0" w:space="0" w:color="auto"/>
      </w:divBdr>
    </w:div>
    <w:div w:id="983899308">
      <w:bodyDiv w:val="1"/>
      <w:marLeft w:val="0"/>
      <w:marRight w:val="0"/>
      <w:marTop w:val="0"/>
      <w:marBottom w:val="0"/>
      <w:divBdr>
        <w:top w:val="none" w:sz="0" w:space="0" w:color="auto"/>
        <w:left w:val="none" w:sz="0" w:space="0" w:color="auto"/>
        <w:bottom w:val="none" w:sz="0" w:space="0" w:color="auto"/>
        <w:right w:val="none" w:sz="0" w:space="0" w:color="auto"/>
      </w:divBdr>
    </w:div>
    <w:div w:id="1065642938">
      <w:bodyDiv w:val="1"/>
      <w:marLeft w:val="0"/>
      <w:marRight w:val="0"/>
      <w:marTop w:val="0"/>
      <w:marBottom w:val="0"/>
      <w:divBdr>
        <w:top w:val="none" w:sz="0" w:space="0" w:color="auto"/>
        <w:left w:val="none" w:sz="0" w:space="0" w:color="auto"/>
        <w:bottom w:val="none" w:sz="0" w:space="0" w:color="auto"/>
        <w:right w:val="none" w:sz="0" w:space="0" w:color="auto"/>
      </w:divBdr>
    </w:div>
    <w:div w:id="1076055773">
      <w:bodyDiv w:val="1"/>
      <w:marLeft w:val="0"/>
      <w:marRight w:val="0"/>
      <w:marTop w:val="0"/>
      <w:marBottom w:val="0"/>
      <w:divBdr>
        <w:top w:val="none" w:sz="0" w:space="0" w:color="auto"/>
        <w:left w:val="none" w:sz="0" w:space="0" w:color="auto"/>
        <w:bottom w:val="none" w:sz="0" w:space="0" w:color="auto"/>
        <w:right w:val="none" w:sz="0" w:space="0" w:color="auto"/>
      </w:divBdr>
    </w:div>
    <w:div w:id="1096249527">
      <w:bodyDiv w:val="1"/>
      <w:marLeft w:val="0"/>
      <w:marRight w:val="0"/>
      <w:marTop w:val="0"/>
      <w:marBottom w:val="0"/>
      <w:divBdr>
        <w:top w:val="none" w:sz="0" w:space="0" w:color="auto"/>
        <w:left w:val="none" w:sz="0" w:space="0" w:color="auto"/>
        <w:bottom w:val="none" w:sz="0" w:space="0" w:color="auto"/>
        <w:right w:val="none" w:sz="0" w:space="0" w:color="auto"/>
      </w:divBdr>
    </w:div>
    <w:div w:id="1135945762">
      <w:bodyDiv w:val="1"/>
      <w:marLeft w:val="0"/>
      <w:marRight w:val="0"/>
      <w:marTop w:val="0"/>
      <w:marBottom w:val="0"/>
      <w:divBdr>
        <w:top w:val="none" w:sz="0" w:space="0" w:color="auto"/>
        <w:left w:val="none" w:sz="0" w:space="0" w:color="auto"/>
        <w:bottom w:val="none" w:sz="0" w:space="0" w:color="auto"/>
        <w:right w:val="none" w:sz="0" w:space="0" w:color="auto"/>
      </w:divBdr>
    </w:div>
    <w:div w:id="1283414181">
      <w:bodyDiv w:val="1"/>
      <w:marLeft w:val="0"/>
      <w:marRight w:val="0"/>
      <w:marTop w:val="0"/>
      <w:marBottom w:val="0"/>
      <w:divBdr>
        <w:top w:val="none" w:sz="0" w:space="0" w:color="auto"/>
        <w:left w:val="none" w:sz="0" w:space="0" w:color="auto"/>
        <w:bottom w:val="none" w:sz="0" w:space="0" w:color="auto"/>
        <w:right w:val="none" w:sz="0" w:space="0" w:color="auto"/>
      </w:divBdr>
    </w:div>
    <w:div w:id="1321614959">
      <w:bodyDiv w:val="1"/>
      <w:marLeft w:val="0"/>
      <w:marRight w:val="0"/>
      <w:marTop w:val="0"/>
      <w:marBottom w:val="0"/>
      <w:divBdr>
        <w:top w:val="none" w:sz="0" w:space="0" w:color="auto"/>
        <w:left w:val="none" w:sz="0" w:space="0" w:color="auto"/>
        <w:bottom w:val="none" w:sz="0" w:space="0" w:color="auto"/>
        <w:right w:val="none" w:sz="0" w:space="0" w:color="auto"/>
      </w:divBdr>
      <w:divsChild>
        <w:div w:id="1460152229">
          <w:marLeft w:val="0"/>
          <w:marRight w:val="0"/>
          <w:marTop w:val="0"/>
          <w:marBottom w:val="0"/>
          <w:divBdr>
            <w:top w:val="none" w:sz="0" w:space="0" w:color="auto"/>
            <w:left w:val="none" w:sz="0" w:space="0" w:color="auto"/>
            <w:bottom w:val="none" w:sz="0" w:space="0" w:color="auto"/>
            <w:right w:val="none" w:sz="0" w:space="0" w:color="auto"/>
          </w:divBdr>
        </w:div>
        <w:div w:id="1910311048">
          <w:marLeft w:val="0"/>
          <w:marRight w:val="0"/>
          <w:marTop w:val="0"/>
          <w:marBottom w:val="0"/>
          <w:divBdr>
            <w:top w:val="none" w:sz="0" w:space="0" w:color="auto"/>
            <w:left w:val="none" w:sz="0" w:space="0" w:color="auto"/>
            <w:bottom w:val="none" w:sz="0" w:space="0" w:color="auto"/>
            <w:right w:val="none" w:sz="0" w:space="0" w:color="auto"/>
          </w:divBdr>
        </w:div>
      </w:divsChild>
    </w:div>
    <w:div w:id="1744983088">
      <w:bodyDiv w:val="1"/>
      <w:marLeft w:val="0"/>
      <w:marRight w:val="0"/>
      <w:marTop w:val="0"/>
      <w:marBottom w:val="0"/>
      <w:divBdr>
        <w:top w:val="none" w:sz="0" w:space="0" w:color="auto"/>
        <w:left w:val="none" w:sz="0" w:space="0" w:color="auto"/>
        <w:bottom w:val="none" w:sz="0" w:space="0" w:color="auto"/>
        <w:right w:val="none" w:sz="0" w:space="0" w:color="auto"/>
      </w:divBdr>
    </w:div>
    <w:div w:id="1770154363">
      <w:bodyDiv w:val="1"/>
      <w:marLeft w:val="0"/>
      <w:marRight w:val="0"/>
      <w:marTop w:val="0"/>
      <w:marBottom w:val="0"/>
      <w:divBdr>
        <w:top w:val="none" w:sz="0" w:space="0" w:color="auto"/>
        <w:left w:val="none" w:sz="0" w:space="0" w:color="auto"/>
        <w:bottom w:val="none" w:sz="0" w:space="0" w:color="auto"/>
        <w:right w:val="none" w:sz="0" w:space="0" w:color="auto"/>
      </w:divBdr>
    </w:div>
    <w:div w:id="1920940666">
      <w:bodyDiv w:val="1"/>
      <w:marLeft w:val="0"/>
      <w:marRight w:val="0"/>
      <w:marTop w:val="0"/>
      <w:marBottom w:val="0"/>
      <w:divBdr>
        <w:top w:val="none" w:sz="0" w:space="0" w:color="auto"/>
        <w:left w:val="none" w:sz="0" w:space="0" w:color="auto"/>
        <w:bottom w:val="none" w:sz="0" w:space="0" w:color="auto"/>
        <w:right w:val="none" w:sz="0" w:space="0" w:color="auto"/>
      </w:divBdr>
    </w:div>
    <w:div w:id="1964456411">
      <w:bodyDiv w:val="1"/>
      <w:marLeft w:val="0"/>
      <w:marRight w:val="0"/>
      <w:marTop w:val="0"/>
      <w:marBottom w:val="0"/>
      <w:divBdr>
        <w:top w:val="none" w:sz="0" w:space="0" w:color="auto"/>
        <w:left w:val="none" w:sz="0" w:space="0" w:color="auto"/>
        <w:bottom w:val="none" w:sz="0" w:space="0" w:color="auto"/>
        <w:right w:val="none" w:sz="0" w:space="0" w:color="auto"/>
      </w:divBdr>
    </w:div>
    <w:div w:id="2118284224">
      <w:bodyDiv w:val="1"/>
      <w:marLeft w:val="0"/>
      <w:marRight w:val="0"/>
      <w:marTop w:val="0"/>
      <w:marBottom w:val="0"/>
      <w:divBdr>
        <w:top w:val="none" w:sz="0" w:space="0" w:color="auto"/>
        <w:left w:val="none" w:sz="0" w:space="0" w:color="auto"/>
        <w:bottom w:val="none" w:sz="0" w:space="0" w:color="auto"/>
        <w:right w:val="none" w:sz="0" w:space="0" w:color="auto"/>
      </w:divBdr>
    </w:div>
    <w:div w:id="213845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entilocali.leggiditalia.it/" TargetMode="External"/><Relationship Id="rId26" Type="http://schemas.openxmlformats.org/officeDocument/2006/relationships/hyperlink" Target="http://www.entilocali.leggiditalia.it/" TargetMode="External"/><Relationship Id="rId39" Type="http://schemas.openxmlformats.org/officeDocument/2006/relationships/footer" Target="footer9.xml"/><Relationship Id="rId21" Type="http://schemas.openxmlformats.org/officeDocument/2006/relationships/hyperlink" Target="http://www.entilocali.leggiditalia.it/" TargetMode="External"/><Relationship Id="rId34" Type="http://schemas.openxmlformats.org/officeDocument/2006/relationships/footer" Target="footer5.xml"/><Relationship Id="rId42" Type="http://schemas.openxmlformats.org/officeDocument/2006/relationships/header" Target="header7.xml"/><Relationship Id="rId47" Type="http://schemas.openxmlformats.org/officeDocument/2006/relationships/chart" Target="charts/chart9.xml"/><Relationship Id="rId50" Type="http://schemas.openxmlformats.org/officeDocument/2006/relationships/chart" Target="charts/chart12.xml"/><Relationship Id="rId55" Type="http://schemas.openxmlformats.org/officeDocument/2006/relationships/chart" Target="charts/chart17.xml"/><Relationship Id="rId63" Type="http://schemas.openxmlformats.org/officeDocument/2006/relationships/header" Target="header9.xml"/><Relationship Id="rId68"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entilocali.leggiditalia.it/" TargetMode="External"/><Relationship Id="rId29"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entilocali.leggiditalia.it/" TargetMode="External"/><Relationship Id="rId32" Type="http://schemas.openxmlformats.org/officeDocument/2006/relationships/footer" Target="footer3.xml"/><Relationship Id="rId37" Type="http://schemas.openxmlformats.org/officeDocument/2006/relationships/footer" Target="footer8.xml"/><Relationship Id="rId40" Type="http://schemas.openxmlformats.org/officeDocument/2006/relationships/header" Target="header6.xml"/><Relationship Id="rId45" Type="http://schemas.openxmlformats.org/officeDocument/2006/relationships/chart" Target="charts/chart7.xml"/><Relationship Id="rId53" Type="http://schemas.openxmlformats.org/officeDocument/2006/relationships/chart" Target="charts/chart15.xml"/><Relationship Id="rId58" Type="http://schemas.openxmlformats.org/officeDocument/2006/relationships/chart" Target="charts/chart20.xml"/><Relationship Id="rId66" Type="http://schemas.openxmlformats.org/officeDocument/2006/relationships/footer" Target="footer16.xml"/><Relationship Id="rId5" Type="http://schemas.openxmlformats.org/officeDocument/2006/relationships/webSettings" Target="webSettings.xml"/><Relationship Id="rId15" Type="http://schemas.openxmlformats.org/officeDocument/2006/relationships/hyperlink" Target="http://www.entilocali.leggiditalia.it/" TargetMode="External"/><Relationship Id="rId23" Type="http://schemas.openxmlformats.org/officeDocument/2006/relationships/hyperlink" Target="http://www.entilocali.leggiditalia.it/" TargetMode="External"/><Relationship Id="rId28" Type="http://schemas.openxmlformats.org/officeDocument/2006/relationships/chart" Target="charts/chart2.xml"/><Relationship Id="rId36" Type="http://schemas.openxmlformats.org/officeDocument/2006/relationships/footer" Target="footer7.xml"/><Relationship Id="rId49" Type="http://schemas.openxmlformats.org/officeDocument/2006/relationships/chart" Target="charts/chart11.xml"/><Relationship Id="rId57" Type="http://schemas.openxmlformats.org/officeDocument/2006/relationships/chart" Target="charts/chart19.xml"/><Relationship Id="rId61" Type="http://schemas.openxmlformats.org/officeDocument/2006/relationships/footer" Target="footer13.xml"/><Relationship Id="rId10" Type="http://schemas.openxmlformats.org/officeDocument/2006/relationships/footer" Target="footer1.xml"/><Relationship Id="rId19" Type="http://schemas.openxmlformats.org/officeDocument/2006/relationships/hyperlink" Target="http://www.entilocali.leggiditalia.it/" TargetMode="External"/><Relationship Id="rId31" Type="http://schemas.openxmlformats.org/officeDocument/2006/relationships/chart" Target="charts/chart5.xml"/><Relationship Id="rId44" Type="http://schemas.openxmlformats.org/officeDocument/2006/relationships/chart" Target="charts/chart6.xml"/><Relationship Id="rId52" Type="http://schemas.openxmlformats.org/officeDocument/2006/relationships/chart" Target="charts/chart14.xml"/><Relationship Id="rId60" Type="http://schemas.openxmlformats.org/officeDocument/2006/relationships/footer" Target="footer12.xml"/><Relationship Id="rId65"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www.entilocali.leggiditalia.it/" TargetMode="External"/><Relationship Id="rId27" Type="http://schemas.openxmlformats.org/officeDocument/2006/relationships/chart" Target="charts/chart1.xml"/><Relationship Id="rId30" Type="http://schemas.openxmlformats.org/officeDocument/2006/relationships/chart" Target="charts/chart4.xml"/><Relationship Id="rId35" Type="http://schemas.openxmlformats.org/officeDocument/2006/relationships/footer" Target="footer6.xml"/><Relationship Id="rId43" Type="http://schemas.openxmlformats.org/officeDocument/2006/relationships/footer" Target="footer11.xml"/><Relationship Id="rId48" Type="http://schemas.openxmlformats.org/officeDocument/2006/relationships/chart" Target="charts/chart10.xml"/><Relationship Id="rId56" Type="http://schemas.openxmlformats.org/officeDocument/2006/relationships/chart" Target="charts/chart18.xml"/><Relationship Id="rId64" Type="http://schemas.openxmlformats.org/officeDocument/2006/relationships/footer" Target="footer15.xml"/><Relationship Id="rId69"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chart" Target="charts/chart13.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entilocali.leggiditalia.it/" TargetMode="External"/><Relationship Id="rId25" Type="http://schemas.openxmlformats.org/officeDocument/2006/relationships/hyperlink" Target="http://www.entilocali.leggiditalia.it/" TargetMode="External"/><Relationship Id="rId33" Type="http://schemas.openxmlformats.org/officeDocument/2006/relationships/footer" Target="footer4.xml"/><Relationship Id="rId38" Type="http://schemas.openxmlformats.org/officeDocument/2006/relationships/header" Target="header5.xml"/><Relationship Id="rId46" Type="http://schemas.openxmlformats.org/officeDocument/2006/relationships/chart" Target="charts/chart8.xml"/><Relationship Id="rId59" Type="http://schemas.openxmlformats.org/officeDocument/2006/relationships/header" Target="header8.xml"/><Relationship Id="rId67" Type="http://schemas.openxmlformats.org/officeDocument/2006/relationships/fontTable" Target="fontTable.xml"/><Relationship Id="rId20" Type="http://schemas.openxmlformats.org/officeDocument/2006/relationships/hyperlink" Target="http://www.entilocali.leggiditalia.it/" TargetMode="External"/><Relationship Id="rId41" Type="http://schemas.openxmlformats.org/officeDocument/2006/relationships/footer" Target="footer10.xml"/><Relationship Id="rId54" Type="http://schemas.openxmlformats.org/officeDocument/2006/relationships/chart" Target="charts/chart16.xml"/><Relationship Id="rId62" Type="http://schemas.openxmlformats.org/officeDocument/2006/relationships/footer" Target="footer1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Microsoft_Excel_Worksheet20.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layout/>
      <c:overlay val="0"/>
    </c:title>
    <c:autoTitleDeleted val="0"/>
    <c:plotArea>
      <c:layout/>
      <c:lineChart>
        <c:grouping val="standard"/>
        <c:varyColors val="0"/>
        <c:ser>
          <c:idx val="1"/>
          <c:order val="0"/>
          <c:tx>
            <c:strRef>
              <c:f>Foglio1!$B$1</c:f>
              <c:strCache>
                <c:ptCount val="1"/>
                <c:pt idx="0">
                  <c:v>AVANZO E FPV</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0</c:v>
                </c:pt>
                <c:pt idx="2">
                  <c:v>0</c:v>
                </c:pt>
                <c:pt idx="3">
                  <c:v>0</c:v>
                </c:pt>
                <c:pt idx="4">
                  <c:v>0</c:v>
                </c:pt>
                <c:pt idx="5">
                  <c:v>0</c:v>
                </c:pt>
              </c:numCache>
            </c:numRef>
          </c:val>
          <c:smooth val="1"/>
        </c:ser>
        <c:ser>
          <c:idx val="2"/>
          <c:order val="1"/>
          <c:tx>
            <c:strRef>
              <c:f>Foglio1!$B$1</c:f>
              <c:strCache>
                <c:ptCount val="1"/>
                <c:pt idx="0">
                  <c:v>ENTRATE CORRENTI DI NATURA TRIBUTARIA, CONTRIBUTIVA E PEREQUATIVA</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0</c:v>
                </c:pt>
                <c:pt idx="2">
                  <c:v>0</c:v>
                </c:pt>
                <c:pt idx="3">
                  <c:v>0</c:v>
                </c:pt>
                <c:pt idx="4">
                  <c:v>0</c:v>
                </c:pt>
                <c:pt idx="5">
                  <c:v>0</c:v>
                </c:pt>
              </c:numCache>
            </c:numRef>
          </c:val>
          <c:smooth val="1"/>
        </c:ser>
        <c:ser>
          <c:idx val="3"/>
          <c:order val="2"/>
          <c:tx>
            <c:strRef>
              <c:f>Foglio1!$B$1</c:f>
              <c:strCache>
                <c:ptCount val="1"/>
                <c:pt idx="0">
                  <c:v>TRASFERIMENTI CORRENTI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3146878.32</c:v>
                </c:pt>
                <c:pt idx="2">
                  <c:v>3150271.23</c:v>
                </c:pt>
                <c:pt idx="3">
                  <c:v>3136535.19</c:v>
                </c:pt>
                <c:pt idx="4">
                  <c:v>3121522.8</c:v>
                </c:pt>
                <c:pt idx="5">
                  <c:v>3101030.59</c:v>
                </c:pt>
              </c:numCache>
            </c:numRef>
          </c:val>
          <c:smooth val="1"/>
        </c:ser>
        <c:ser>
          <c:idx val="4"/>
          <c:order val="3"/>
          <c:tx>
            <c:strRef>
              <c:f>Foglio1!$B$1</c:f>
              <c:strCache>
                <c:ptCount val="1"/>
                <c:pt idx="0">
                  <c:v>ENTRATE EXTRATRIBUTARIE</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943700.99</c:v>
                </c:pt>
                <c:pt idx="2">
                  <c:v>2272407.1800000002</c:v>
                </c:pt>
                <c:pt idx="3">
                  <c:v>1503736.94</c:v>
                </c:pt>
                <c:pt idx="4">
                  <c:v>1371300</c:v>
                </c:pt>
                <c:pt idx="5">
                  <c:v>1371300</c:v>
                </c:pt>
              </c:numCache>
            </c:numRef>
          </c:val>
          <c:smooth val="1"/>
        </c:ser>
        <c:ser>
          <c:idx val="5"/>
          <c:order val="4"/>
          <c:tx>
            <c:strRef>
              <c:f>Foglio1!$B$1</c:f>
              <c:strCache>
                <c:ptCount val="1"/>
                <c:pt idx="0">
                  <c:v>ENTRATE IN CONTO CAPITALE</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5845.36</c:v>
                </c:pt>
                <c:pt idx="2">
                  <c:v>69903.34</c:v>
                </c:pt>
                <c:pt idx="3">
                  <c:v>0</c:v>
                </c:pt>
                <c:pt idx="4">
                  <c:v>0</c:v>
                </c:pt>
                <c:pt idx="5">
                  <c:v>0</c:v>
                </c:pt>
              </c:numCache>
            </c:numRef>
          </c:val>
          <c:smooth val="1"/>
        </c:ser>
        <c:ser>
          <c:idx val="6"/>
          <c:order val="5"/>
          <c:tx>
            <c:strRef>
              <c:f>Foglio1!$B$1</c:f>
              <c:strCache>
                <c:ptCount val="1"/>
                <c:pt idx="0">
                  <c:v>ENTRATE DA RIDUZIONE DI ATTIVITA' FINANZIARIE</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0</c:v>
                </c:pt>
                <c:pt idx="2">
                  <c:v>0</c:v>
                </c:pt>
                <c:pt idx="3">
                  <c:v>0</c:v>
                </c:pt>
                <c:pt idx="4">
                  <c:v>0</c:v>
                </c:pt>
                <c:pt idx="5">
                  <c:v>0</c:v>
                </c:pt>
              </c:numCache>
            </c:numRef>
          </c:val>
          <c:smooth val="1"/>
        </c:ser>
        <c:ser>
          <c:idx val="7"/>
          <c:order val="6"/>
          <c:tx>
            <c:strRef>
              <c:f>Foglio1!$B$1</c:f>
              <c:strCache>
                <c:ptCount val="1"/>
                <c:pt idx="0">
                  <c:v>ACCENSIONE PRESTITI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0</c:v>
                </c:pt>
                <c:pt idx="2">
                  <c:v>982917.47</c:v>
                </c:pt>
                <c:pt idx="3">
                  <c:v>1022644.83</c:v>
                </c:pt>
                <c:pt idx="4">
                  <c:v>1022000</c:v>
                </c:pt>
                <c:pt idx="5">
                  <c:v>1022000</c:v>
                </c:pt>
              </c:numCache>
            </c:numRef>
          </c:val>
          <c:smooth val="1"/>
        </c:ser>
        <c:ser>
          <c:idx val="8"/>
          <c:order val="7"/>
          <c:tx>
            <c:strRef>
              <c:f>Foglio1!$B$1</c:f>
              <c:strCache>
                <c:ptCount val="1"/>
                <c:pt idx="0">
                  <c:v>ANTICIPAZIONI DA ISTITUTO TESORIERE/CASSIERE</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0</c:v>
                </c:pt>
                <c:pt idx="2">
                  <c:v>0</c:v>
                </c:pt>
                <c:pt idx="3">
                  <c:v>0</c:v>
                </c:pt>
                <c:pt idx="4">
                  <c:v>0</c:v>
                </c:pt>
                <c:pt idx="5">
                  <c:v>0</c:v>
                </c:pt>
              </c:numCache>
            </c:numRef>
          </c:val>
          <c:smooth val="1"/>
        </c:ser>
        <c:ser>
          <c:idx val="9"/>
          <c:order val="8"/>
          <c:tx>
            <c:strRef>
              <c:f>Foglio1!$B$1</c:f>
              <c:strCache>
                <c:ptCount val="1"/>
                <c:pt idx="0">
                  <c:v>ENTRATE PER CONTO TERZI E PARTITE DI GIRO</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350238.32</c:v>
                </c:pt>
                <c:pt idx="2">
                  <c:v>1143000</c:v>
                </c:pt>
                <c:pt idx="3">
                  <c:v>1143000</c:v>
                </c:pt>
                <c:pt idx="4">
                  <c:v>1143000</c:v>
                </c:pt>
                <c:pt idx="5">
                  <c:v>1143000</c:v>
                </c:pt>
              </c:numCache>
            </c:numRef>
          </c:val>
          <c:smooth val="1"/>
        </c:ser>
        <c:dLbls>
          <c:showLegendKey val="0"/>
          <c:showVal val="0"/>
          <c:showCatName val="0"/>
          <c:showSerName val="0"/>
          <c:showPercent val="0"/>
          <c:showBubbleSize val="0"/>
        </c:dLbls>
        <c:marker val="1"/>
        <c:smooth val="0"/>
        <c:axId val="316414128"/>
        <c:axId val="316418440"/>
      </c:lineChart>
      <c:catAx>
        <c:axId val="316414128"/>
        <c:scaling>
          <c:orientation val="minMax"/>
        </c:scaling>
        <c:delete val="0"/>
        <c:axPos val="b"/>
        <c:numFmt formatCode="General" sourceLinked="0"/>
        <c:majorTickMark val="out"/>
        <c:minorTickMark val="none"/>
        <c:tickLblPos val="nextTo"/>
        <c:crossAx val="316418440"/>
        <c:crosses val="autoZero"/>
        <c:auto val="1"/>
        <c:lblAlgn val="ctr"/>
        <c:lblOffset val="100"/>
        <c:noMultiLvlLbl val="0"/>
      </c:catAx>
      <c:valAx>
        <c:axId val="316418440"/>
        <c:scaling>
          <c:orientation val="minMax"/>
        </c:scaling>
        <c:delete val="0"/>
        <c:axPos val="l"/>
        <c:majorGridlines/>
        <c:numFmt formatCode="General" sourceLinked="0"/>
        <c:majorTickMark val="out"/>
        <c:minorTickMark val="none"/>
        <c:tickLblPos val="nextTo"/>
        <c:crossAx val="316414128"/>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Tipologia 200: Accensione Prestiti a breve termine</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0</c:v>
                </c:pt>
                <c:pt idx="2">
                  <c:v>982917.47</c:v>
                </c:pt>
                <c:pt idx="3">
                  <c:v>1022644.83</c:v>
                </c:pt>
                <c:pt idx="4">
                  <c:v>1022000</c:v>
                </c:pt>
                <c:pt idx="5">
                  <c:v>1022000</c:v>
                </c:pt>
              </c:numCache>
            </c:numRef>
          </c:val>
          <c:smooth val="1"/>
        </c:ser>
        <c:dLbls>
          <c:showLegendKey val="0"/>
          <c:showVal val="0"/>
          <c:showCatName val="0"/>
          <c:showSerName val="0"/>
          <c:showPercent val="0"/>
          <c:showBubbleSize val="0"/>
        </c:dLbls>
        <c:marker val="1"/>
        <c:smooth val="0"/>
        <c:axId val="318174288"/>
        <c:axId val="318169192"/>
      </c:lineChart>
      <c:catAx>
        <c:axId val="318174288"/>
        <c:scaling>
          <c:orientation val="minMax"/>
        </c:scaling>
        <c:delete val="0"/>
        <c:axPos val="b"/>
        <c:numFmt formatCode="General" sourceLinked="0"/>
        <c:majorTickMark val="out"/>
        <c:minorTickMark val="none"/>
        <c:tickLblPos val="nextTo"/>
        <c:crossAx val="318169192"/>
        <c:crosses val="autoZero"/>
        <c:auto val="1"/>
        <c:lblAlgn val="ctr"/>
        <c:lblOffset val="100"/>
        <c:noMultiLvlLbl val="0"/>
      </c:catAx>
      <c:valAx>
        <c:axId val="318169192"/>
        <c:scaling>
          <c:orientation val="minMax"/>
        </c:scaling>
        <c:delete val="0"/>
        <c:axPos val="l"/>
        <c:majorGridlines/>
        <c:numFmt formatCode="General" sourceLinked="0"/>
        <c:majorTickMark val="out"/>
        <c:minorTickMark val="none"/>
        <c:tickLblPos val="nextTo"/>
        <c:crossAx val="318174288"/>
        <c:crosses val="autoZero"/>
        <c:crossBetween val="between"/>
      </c:valAx>
    </c:plotArea>
    <c:legend>
      <c:legendPos val="r"/>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Tipologia 100: Entrate per partite di giro</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343241.99</c:v>
                </c:pt>
                <c:pt idx="2">
                  <c:v>450000</c:v>
                </c:pt>
                <c:pt idx="3">
                  <c:v>450000</c:v>
                </c:pt>
                <c:pt idx="4">
                  <c:v>450000</c:v>
                </c:pt>
                <c:pt idx="5">
                  <c:v>450000</c:v>
                </c:pt>
              </c:numCache>
            </c:numRef>
          </c:val>
          <c:smooth val="1"/>
        </c:ser>
        <c:ser>
          <c:idx val="2"/>
          <c:order val="1"/>
          <c:tx>
            <c:strRef>
              <c:f>Foglio1!$B$1</c:f>
              <c:strCache>
                <c:ptCount val="1"/>
                <c:pt idx="0">
                  <c:v>Tipologia 200: Entrate per conto terzi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6996.33</c:v>
                </c:pt>
                <c:pt idx="2">
                  <c:v>693000</c:v>
                </c:pt>
                <c:pt idx="3">
                  <c:v>693000</c:v>
                </c:pt>
                <c:pt idx="4">
                  <c:v>693000</c:v>
                </c:pt>
                <c:pt idx="5">
                  <c:v>693000</c:v>
                </c:pt>
              </c:numCache>
            </c:numRef>
          </c:val>
          <c:smooth val="1"/>
        </c:ser>
        <c:dLbls>
          <c:showLegendKey val="0"/>
          <c:showVal val="0"/>
          <c:showCatName val="0"/>
          <c:showSerName val="0"/>
          <c:showPercent val="0"/>
          <c:showBubbleSize val="0"/>
        </c:dLbls>
        <c:marker val="1"/>
        <c:smooth val="0"/>
        <c:axId val="318173896"/>
        <c:axId val="318170760"/>
      </c:lineChart>
      <c:catAx>
        <c:axId val="318173896"/>
        <c:scaling>
          <c:orientation val="minMax"/>
        </c:scaling>
        <c:delete val="0"/>
        <c:axPos val="b"/>
        <c:numFmt formatCode="General" sourceLinked="0"/>
        <c:majorTickMark val="out"/>
        <c:minorTickMark val="none"/>
        <c:tickLblPos val="nextTo"/>
        <c:crossAx val="318170760"/>
        <c:crosses val="autoZero"/>
        <c:auto val="1"/>
        <c:lblAlgn val="ctr"/>
        <c:lblOffset val="100"/>
        <c:noMultiLvlLbl val="0"/>
      </c:catAx>
      <c:valAx>
        <c:axId val="318170760"/>
        <c:scaling>
          <c:orientation val="minMax"/>
        </c:scaling>
        <c:delete val="0"/>
        <c:axPos val="l"/>
        <c:majorGridlines/>
        <c:numFmt formatCode="General" sourceLinked="0"/>
        <c:majorTickMark val="out"/>
        <c:minorTickMark val="none"/>
        <c:tickLblPos val="nextTo"/>
        <c:crossAx val="318173896"/>
        <c:crosses val="autoZero"/>
        <c:crossBetween val="between"/>
      </c:valAx>
    </c:plotArea>
    <c:legend>
      <c:legendPos val="r"/>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Tassa smaltimento rifiuti solidi urbani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0</c:v>
                </c:pt>
                <c:pt idx="2">
                  <c:v>0</c:v>
                </c:pt>
                <c:pt idx="3">
                  <c:v>0</c:v>
                </c:pt>
                <c:pt idx="4">
                  <c:v>0</c:v>
                </c:pt>
                <c:pt idx="5">
                  <c:v>0</c:v>
                </c:pt>
              </c:numCache>
            </c:numRef>
          </c:val>
          <c:smooth val="1"/>
        </c:ser>
        <c:dLbls>
          <c:showLegendKey val="0"/>
          <c:showVal val="0"/>
          <c:showCatName val="0"/>
          <c:showSerName val="0"/>
          <c:showPercent val="0"/>
          <c:showBubbleSize val="0"/>
        </c:dLbls>
        <c:marker val="1"/>
        <c:smooth val="0"/>
        <c:axId val="318167624"/>
        <c:axId val="318168016"/>
      </c:lineChart>
      <c:catAx>
        <c:axId val="318167624"/>
        <c:scaling>
          <c:orientation val="minMax"/>
        </c:scaling>
        <c:delete val="0"/>
        <c:axPos val="b"/>
        <c:numFmt formatCode="General" sourceLinked="0"/>
        <c:majorTickMark val="out"/>
        <c:minorTickMark val="none"/>
        <c:tickLblPos val="nextTo"/>
        <c:crossAx val="318168016"/>
        <c:crosses val="autoZero"/>
        <c:auto val="1"/>
        <c:lblAlgn val="ctr"/>
        <c:lblOffset val="100"/>
        <c:noMultiLvlLbl val="0"/>
      </c:catAx>
      <c:valAx>
        <c:axId val="318168016"/>
        <c:scaling>
          <c:orientation val="minMax"/>
        </c:scaling>
        <c:delete val="0"/>
        <c:axPos val="l"/>
        <c:majorGridlines/>
        <c:numFmt formatCode="General" sourceLinked="0"/>
        <c:majorTickMark val="out"/>
        <c:minorTickMark val="none"/>
        <c:tickLblPos val="nextTo"/>
        <c:crossAx val="318167624"/>
        <c:crosses val="autoZero"/>
        <c:crossBetween val="between"/>
      </c:valAx>
    </c:plotArea>
    <c:legend>
      <c:legendPos val="r"/>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Trasferimenti correnti da Amministrazioni Centrali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96000</c:v>
                </c:pt>
                <c:pt idx="2">
                  <c:v>91000</c:v>
                </c:pt>
                <c:pt idx="3">
                  <c:v>59823</c:v>
                </c:pt>
                <c:pt idx="4">
                  <c:v>55000</c:v>
                </c:pt>
                <c:pt idx="5">
                  <c:v>55000</c:v>
                </c:pt>
              </c:numCache>
            </c:numRef>
          </c:val>
          <c:smooth val="1"/>
        </c:ser>
        <c:ser>
          <c:idx val="2"/>
          <c:order val="1"/>
          <c:tx>
            <c:strRef>
              <c:f>Foglio1!$B$1</c:f>
              <c:strCache>
                <c:ptCount val="1"/>
                <c:pt idx="0">
                  <c:v>Trasferimenti correnti da Amministrazioni Locali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3050878.32</c:v>
                </c:pt>
                <c:pt idx="2">
                  <c:v>3059271.23</c:v>
                </c:pt>
                <c:pt idx="3">
                  <c:v>3076712.19</c:v>
                </c:pt>
                <c:pt idx="4">
                  <c:v>3066522.8</c:v>
                </c:pt>
                <c:pt idx="5">
                  <c:v>3046030.59</c:v>
                </c:pt>
              </c:numCache>
            </c:numRef>
          </c:val>
          <c:smooth val="1"/>
        </c:ser>
        <c:dLbls>
          <c:showLegendKey val="0"/>
          <c:showVal val="0"/>
          <c:showCatName val="0"/>
          <c:showSerName val="0"/>
          <c:showPercent val="0"/>
          <c:showBubbleSize val="0"/>
        </c:dLbls>
        <c:marker val="1"/>
        <c:smooth val="0"/>
        <c:axId val="318168408"/>
        <c:axId val="318170368"/>
      </c:lineChart>
      <c:catAx>
        <c:axId val="318168408"/>
        <c:scaling>
          <c:orientation val="minMax"/>
        </c:scaling>
        <c:delete val="0"/>
        <c:axPos val="b"/>
        <c:numFmt formatCode="General" sourceLinked="0"/>
        <c:majorTickMark val="out"/>
        <c:minorTickMark val="none"/>
        <c:tickLblPos val="nextTo"/>
        <c:crossAx val="318170368"/>
        <c:crosses val="autoZero"/>
        <c:auto val="1"/>
        <c:lblAlgn val="ctr"/>
        <c:lblOffset val="100"/>
        <c:noMultiLvlLbl val="0"/>
      </c:catAx>
      <c:valAx>
        <c:axId val="318170368"/>
        <c:scaling>
          <c:orientation val="minMax"/>
        </c:scaling>
        <c:delete val="0"/>
        <c:axPos val="l"/>
        <c:majorGridlines/>
        <c:numFmt formatCode="General" sourceLinked="0"/>
        <c:majorTickMark val="out"/>
        <c:minorTickMark val="none"/>
        <c:tickLblPos val="nextTo"/>
        <c:crossAx val="318168408"/>
        <c:crosses val="autoZero"/>
        <c:crossBetween val="between"/>
      </c:valAx>
    </c:plotArea>
    <c:legend>
      <c:legendPos val="r"/>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Entrate dalla vendita e dall'erogazione di servizi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931401.58</c:v>
                </c:pt>
                <c:pt idx="2">
                  <c:v>2272407.1800000002</c:v>
                </c:pt>
                <c:pt idx="3">
                  <c:v>1472873.33</c:v>
                </c:pt>
                <c:pt idx="4">
                  <c:v>1356300</c:v>
                </c:pt>
                <c:pt idx="5">
                  <c:v>1356300</c:v>
                </c:pt>
              </c:numCache>
            </c:numRef>
          </c:val>
          <c:smooth val="1"/>
        </c:ser>
        <c:dLbls>
          <c:showLegendKey val="0"/>
          <c:showVal val="0"/>
          <c:showCatName val="0"/>
          <c:showSerName val="0"/>
          <c:showPercent val="0"/>
          <c:showBubbleSize val="0"/>
        </c:dLbls>
        <c:marker val="1"/>
        <c:smooth val="0"/>
        <c:axId val="318116264"/>
        <c:axId val="318118616"/>
      </c:lineChart>
      <c:catAx>
        <c:axId val="318116264"/>
        <c:scaling>
          <c:orientation val="minMax"/>
        </c:scaling>
        <c:delete val="0"/>
        <c:axPos val="b"/>
        <c:numFmt formatCode="General" sourceLinked="0"/>
        <c:majorTickMark val="out"/>
        <c:minorTickMark val="none"/>
        <c:tickLblPos val="nextTo"/>
        <c:crossAx val="318118616"/>
        <c:crosses val="autoZero"/>
        <c:auto val="1"/>
        <c:lblAlgn val="ctr"/>
        <c:lblOffset val="100"/>
        <c:noMultiLvlLbl val="0"/>
      </c:catAx>
      <c:valAx>
        <c:axId val="318118616"/>
        <c:scaling>
          <c:orientation val="minMax"/>
        </c:scaling>
        <c:delete val="0"/>
        <c:axPos val="l"/>
        <c:majorGridlines/>
        <c:numFmt formatCode="General" sourceLinked="0"/>
        <c:majorTickMark val="out"/>
        <c:minorTickMark val="none"/>
        <c:tickLblPos val="nextTo"/>
        <c:crossAx val="318116264"/>
        <c:crosses val="autoZero"/>
        <c:crossBetween val="between"/>
      </c:valAx>
    </c:plotArea>
    <c:legend>
      <c:legendPos val="r"/>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Altri interessi attivi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7.9</c:v>
                </c:pt>
                <c:pt idx="2">
                  <c:v>0</c:v>
                </c:pt>
                <c:pt idx="3">
                  <c:v>0</c:v>
                </c:pt>
                <c:pt idx="4">
                  <c:v>0</c:v>
                </c:pt>
                <c:pt idx="5">
                  <c:v>0</c:v>
                </c:pt>
              </c:numCache>
            </c:numRef>
          </c:val>
          <c:smooth val="1"/>
        </c:ser>
        <c:dLbls>
          <c:showLegendKey val="0"/>
          <c:showVal val="0"/>
          <c:showCatName val="0"/>
          <c:showSerName val="0"/>
          <c:showPercent val="0"/>
          <c:showBubbleSize val="0"/>
        </c:dLbls>
        <c:marker val="1"/>
        <c:smooth val="0"/>
        <c:axId val="318120576"/>
        <c:axId val="318114304"/>
      </c:lineChart>
      <c:catAx>
        <c:axId val="318120576"/>
        <c:scaling>
          <c:orientation val="minMax"/>
        </c:scaling>
        <c:delete val="0"/>
        <c:axPos val="b"/>
        <c:numFmt formatCode="General" sourceLinked="0"/>
        <c:majorTickMark val="out"/>
        <c:minorTickMark val="none"/>
        <c:tickLblPos val="nextTo"/>
        <c:crossAx val="318114304"/>
        <c:crosses val="autoZero"/>
        <c:auto val="1"/>
        <c:lblAlgn val="ctr"/>
        <c:lblOffset val="100"/>
        <c:noMultiLvlLbl val="0"/>
      </c:catAx>
      <c:valAx>
        <c:axId val="318114304"/>
        <c:scaling>
          <c:orientation val="minMax"/>
        </c:scaling>
        <c:delete val="0"/>
        <c:axPos val="l"/>
        <c:majorGridlines/>
        <c:numFmt formatCode="General" sourceLinked="0"/>
        <c:majorTickMark val="out"/>
        <c:minorTickMark val="none"/>
        <c:tickLblPos val="nextTo"/>
        <c:crossAx val="318120576"/>
        <c:crosses val="autoZero"/>
        <c:crossBetween val="between"/>
      </c:valAx>
    </c:plotArea>
    <c:legend>
      <c:legendPos val="r"/>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Altre entrate correnti n.a.c.</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12291.51</c:v>
                </c:pt>
                <c:pt idx="2">
                  <c:v>0</c:v>
                </c:pt>
                <c:pt idx="3">
                  <c:v>0</c:v>
                </c:pt>
                <c:pt idx="4">
                  <c:v>0</c:v>
                </c:pt>
                <c:pt idx="5">
                  <c:v>0</c:v>
                </c:pt>
              </c:numCache>
            </c:numRef>
          </c:val>
          <c:smooth val="1"/>
        </c:ser>
        <c:dLbls>
          <c:showLegendKey val="0"/>
          <c:showVal val="0"/>
          <c:showCatName val="0"/>
          <c:showSerName val="0"/>
          <c:showPercent val="0"/>
          <c:showBubbleSize val="0"/>
        </c:dLbls>
        <c:marker val="1"/>
        <c:smooth val="0"/>
        <c:axId val="318116656"/>
        <c:axId val="318120968"/>
      </c:lineChart>
      <c:catAx>
        <c:axId val="318116656"/>
        <c:scaling>
          <c:orientation val="minMax"/>
        </c:scaling>
        <c:delete val="0"/>
        <c:axPos val="b"/>
        <c:numFmt formatCode="General" sourceLinked="0"/>
        <c:majorTickMark val="out"/>
        <c:minorTickMark val="none"/>
        <c:tickLblPos val="nextTo"/>
        <c:crossAx val="318120968"/>
        <c:crosses val="autoZero"/>
        <c:auto val="1"/>
        <c:lblAlgn val="ctr"/>
        <c:lblOffset val="100"/>
        <c:noMultiLvlLbl val="0"/>
      </c:catAx>
      <c:valAx>
        <c:axId val="318120968"/>
        <c:scaling>
          <c:orientation val="minMax"/>
        </c:scaling>
        <c:delete val="0"/>
        <c:axPos val="l"/>
        <c:majorGridlines/>
        <c:numFmt formatCode="General" sourceLinked="0"/>
        <c:majorTickMark val="out"/>
        <c:minorTickMark val="none"/>
        <c:tickLblPos val="nextTo"/>
        <c:crossAx val="318116656"/>
        <c:crosses val="autoZero"/>
        <c:crossBetween val="between"/>
      </c:valAx>
    </c:plotArea>
    <c:legend>
      <c:legendPos val="r"/>
      <c:overlay val="0"/>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Altri trasferimenti in conto capitale da amministrazioni pubbliche</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5845.36</c:v>
                </c:pt>
                <c:pt idx="2">
                  <c:v>69903.34</c:v>
                </c:pt>
                <c:pt idx="3">
                  <c:v>0</c:v>
                </c:pt>
                <c:pt idx="4">
                  <c:v>0</c:v>
                </c:pt>
                <c:pt idx="5">
                  <c:v>0</c:v>
                </c:pt>
              </c:numCache>
            </c:numRef>
          </c:val>
          <c:smooth val="1"/>
        </c:ser>
        <c:dLbls>
          <c:showLegendKey val="0"/>
          <c:showVal val="0"/>
          <c:showCatName val="0"/>
          <c:showSerName val="0"/>
          <c:showPercent val="0"/>
          <c:showBubbleSize val="0"/>
        </c:dLbls>
        <c:marker val="1"/>
        <c:smooth val="0"/>
        <c:axId val="318115872"/>
        <c:axId val="318121752"/>
      </c:lineChart>
      <c:catAx>
        <c:axId val="318115872"/>
        <c:scaling>
          <c:orientation val="minMax"/>
        </c:scaling>
        <c:delete val="0"/>
        <c:axPos val="b"/>
        <c:numFmt formatCode="General" sourceLinked="0"/>
        <c:majorTickMark val="out"/>
        <c:minorTickMark val="none"/>
        <c:tickLblPos val="nextTo"/>
        <c:crossAx val="318121752"/>
        <c:crosses val="autoZero"/>
        <c:auto val="1"/>
        <c:lblAlgn val="ctr"/>
        <c:lblOffset val="100"/>
        <c:noMultiLvlLbl val="0"/>
      </c:catAx>
      <c:valAx>
        <c:axId val="318121752"/>
        <c:scaling>
          <c:orientation val="minMax"/>
        </c:scaling>
        <c:delete val="0"/>
        <c:axPos val="l"/>
        <c:majorGridlines/>
        <c:numFmt formatCode="General" sourceLinked="0"/>
        <c:majorTickMark val="out"/>
        <c:minorTickMark val="none"/>
        <c:tickLblPos val="nextTo"/>
        <c:crossAx val="318115872"/>
        <c:crosses val="autoZero"/>
        <c:crossBetween val="between"/>
      </c:valAx>
    </c:plotArea>
    <c:legend>
      <c:legendPos val="r"/>
      <c:overlay val="0"/>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Anticipazioni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0</c:v>
                </c:pt>
                <c:pt idx="2">
                  <c:v>982917.47</c:v>
                </c:pt>
                <c:pt idx="3">
                  <c:v>1022644.83</c:v>
                </c:pt>
                <c:pt idx="4">
                  <c:v>1022000</c:v>
                </c:pt>
                <c:pt idx="5">
                  <c:v>1022000</c:v>
                </c:pt>
              </c:numCache>
            </c:numRef>
          </c:val>
          <c:smooth val="1"/>
        </c:ser>
        <c:dLbls>
          <c:showLegendKey val="0"/>
          <c:showVal val="0"/>
          <c:showCatName val="0"/>
          <c:showSerName val="0"/>
          <c:showPercent val="0"/>
          <c:showBubbleSize val="0"/>
        </c:dLbls>
        <c:marker val="1"/>
        <c:smooth val="0"/>
        <c:axId val="318117048"/>
        <c:axId val="318115088"/>
      </c:lineChart>
      <c:catAx>
        <c:axId val="318117048"/>
        <c:scaling>
          <c:orientation val="minMax"/>
        </c:scaling>
        <c:delete val="0"/>
        <c:axPos val="b"/>
        <c:numFmt formatCode="General" sourceLinked="0"/>
        <c:majorTickMark val="out"/>
        <c:minorTickMark val="none"/>
        <c:tickLblPos val="nextTo"/>
        <c:crossAx val="318115088"/>
        <c:crosses val="autoZero"/>
        <c:auto val="1"/>
        <c:lblAlgn val="ctr"/>
        <c:lblOffset val="100"/>
        <c:noMultiLvlLbl val="0"/>
      </c:catAx>
      <c:valAx>
        <c:axId val="318115088"/>
        <c:scaling>
          <c:orientation val="minMax"/>
        </c:scaling>
        <c:delete val="0"/>
        <c:axPos val="l"/>
        <c:majorGridlines/>
        <c:numFmt formatCode="General" sourceLinked="0"/>
        <c:majorTickMark val="out"/>
        <c:minorTickMark val="none"/>
        <c:tickLblPos val="nextTo"/>
        <c:crossAx val="318117048"/>
        <c:crosses val="autoZero"/>
        <c:crossBetween val="between"/>
      </c:valAx>
    </c:plotArea>
    <c:legend>
      <c:legendPos val="r"/>
      <c:overlay val="0"/>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Altre ritenute</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319028.43</c:v>
                </c:pt>
                <c:pt idx="2">
                  <c:v>400000</c:v>
                </c:pt>
                <c:pt idx="3">
                  <c:v>400000</c:v>
                </c:pt>
                <c:pt idx="4">
                  <c:v>400000</c:v>
                </c:pt>
                <c:pt idx="5">
                  <c:v>400000</c:v>
                </c:pt>
              </c:numCache>
            </c:numRef>
          </c:val>
          <c:smooth val="1"/>
        </c:ser>
        <c:ser>
          <c:idx val="2"/>
          <c:order val="1"/>
          <c:tx>
            <c:strRef>
              <c:f>Foglio1!$B$1</c:f>
              <c:strCache>
                <c:ptCount val="1"/>
                <c:pt idx="0">
                  <c:v>Ritenute su redditi da lavoro dipendente</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24213.56</c:v>
                </c:pt>
                <c:pt idx="2">
                  <c:v>50000</c:v>
                </c:pt>
                <c:pt idx="3">
                  <c:v>50000</c:v>
                </c:pt>
                <c:pt idx="4">
                  <c:v>50000</c:v>
                </c:pt>
                <c:pt idx="5">
                  <c:v>50000</c:v>
                </c:pt>
              </c:numCache>
            </c:numRef>
          </c:val>
          <c:smooth val="1"/>
        </c:ser>
        <c:dLbls>
          <c:showLegendKey val="0"/>
          <c:showVal val="0"/>
          <c:showCatName val="0"/>
          <c:showSerName val="0"/>
          <c:showPercent val="0"/>
          <c:showBubbleSize val="0"/>
        </c:dLbls>
        <c:marker val="1"/>
        <c:smooth val="0"/>
        <c:axId val="318118224"/>
        <c:axId val="318119008"/>
      </c:lineChart>
      <c:catAx>
        <c:axId val="318118224"/>
        <c:scaling>
          <c:orientation val="minMax"/>
        </c:scaling>
        <c:delete val="0"/>
        <c:axPos val="b"/>
        <c:numFmt formatCode="General" sourceLinked="0"/>
        <c:majorTickMark val="out"/>
        <c:minorTickMark val="none"/>
        <c:tickLblPos val="nextTo"/>
        <c:crossAx val="318119008"/>
        <c:crosses val="autoZero"/>
        <c:auto val="1"/>
        <c:lblAlgn val="ctr"/>
        <c:lblOffset val="100"/>
        <c:noMultiLvlLbl val="0"/>
      </c:catAx>
      <c:valAx>
        <c:axId val="318119008"/>
        <c:scaling>
          <c:orientation val="minMax"/>
        </c:scaling>
        <c:delete val="0"/>
        <c:axPos val="l"/>
        <c:majorGridlines/>
        <c:numFmt formatCode="General" sourceLinked="0"/>
        <c:majorTickMark val="out"/>
        <c:minorTickMark val="none"/>
        <c:tickLblPos val="nextTo"/>
        <c:crossAx val="318118224"/>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r>
              <a:rPr lang="it-IT"/>
              <a:t>Entrate 2018</a:t>
            </a:r>
          </a:p>
        </c:rich>
      </c:tx>
      <c:overlay val="0"/>
    </c:title>
    <c:autoTitleDeleted val="0"/>
    <c:plotArea>
      <c:layout/>
      <c:barChart>
        <c:barDir val="col"/>
        <c:grouping val="clustered"/>
        <c:varyColors val="0"/>
        <c:ser>
          <c:idx val="1"/>
          <c:order val="0"/>
          <c:tx>
            <c:strRef>
              <c:f>Foglio1!$B$1</c:f>
              <c:strCache>
                <c:ptCount val="1"/>
                <c:pt idx="0">
                  <c:v>Entrate 2018</c:v>
                </c:pt>
              </c:strCache>
            </c:strRef>
          </c:tx>
          <c:spPr>
            <a:solidFill>
              <a:srgbClr val="4F81BD"/>
            </a:solidFill>
          </c:spPr>
          <c:invertIfNegative val="0"/>
          <c:cat>
            <c:strRef>
              <c:f>Foglio1!$A$2:$A$10</c:f>
              <c:strCache>
                <c:ptCount val="9"/>
                <c:pt idx="0">
                  <c:v>AVANZO E FPV</c:v>
                </c:pt>
                <c:pt idx="1">
                  <c:v>ENTRATE CORRENTI DI NATURA TRIBUTARIA, CONTRIBUTIVA E PEREQUATIVA</c:v>
                </c:pt>
                <c:pt idx="2">
                  <c:v>TRASFERIMENTI CORRENTI</c:v>
                </c:pt>
                <c:pt idx="3">
                  <c:v>ENTRATE EXTRATRIBUTARIE</c:v>
                </c:pt>
                <c:pt idx="4">
                  <c:v>ENTRATE IN CONTO CAPITALE</c:v>
                </c:pt>
                <c:pt idx="5">
                  <c:v>ENTRATE DA RIDUZIONE DI ATTIVITA' FINANZIARIE</c:v>
                </c:pt>
                <c:pt idx="6">
                  <c:v>ACCENSIONE PRESTITI</c:v>
                </c:pt>
                <c:pt idx="7">
                  <c:v>ANTICIPAZIONI DA ISTITUTO TESORIERE/CASSIERE</c:v>
                </c:pt>
                <c:pt idx="8">
                  <c:v>ENTRATE PER CONTO TERZI E PARTITE DI GIRO</c:v>
                </c:pt>
              </c:strCache>
            </c:strRef>
          </c:cat>
          <c:val>
            <c:numRef>
              <c:f>Foglio1!$B$2:$B$10</c:f>
              <c:numCache>
                <c:formatCode>General</c:formatCode>
                <c:ptCount val="9"/>
                <c:pt idx="0">
                  <c:v>0</c:v>
                </c:pt>
                <c:pt idx="1">
                  <c:v>0</c:v>
                </c:pt>
                <c:pt idx="2">
                  <c:v>3136535.19</c:v>
                </c:pt>
                <c:pt idx="3">
                  <c:v>1503736.94</c:v>
                </c:pt>
                <c:pt idx="4">
                  <c:v>0</c:v>
                </c:pt>
                <c:pt idx="5">
                  <c:v>0</c:v>
                </c:pt>
                <c:pt idx="6">
                  <c:v>1022644.83</c:v>
                </c:pt>
                <c:pt idx="7">
                  <c:v>0</c:v>
                </c:pt>
                <c:pt idx="8">
                  <c:v>1143000</c:v>
                </c:pt>
              </c:numCache>
            </c:numRef>
          </c:val>
        </c:ser>
        <c:dLbls>
          <c:showLegendKey val="0"/>
          <c:showVal val="0"/>
          <c:showCatName val="0"/>
          <c:showSerName val="0"/>
          <c:showPercent val="0"/>
          <c:showBubbleSize val="0"/>
        </c:dLbls>
        <c:gapWidth val="150"/>
        <c:axId val="316417656"/>
        <c:axId val="316412168"/>
      </c:barChart>
      <c:catAx>
        <c:axId val="316417656"/>
        <c:scaling>
          <c:orientation val="minMax"/>
        </c:scaling>
        <c:delete val="0"/>
        <c:axPos val="b"/>
        <c:numFmt formatCode="General" sourceLinked="0"/>
        <c:majorTickMark val="out"/>
        <c:minorTickMark val="none"/>
        <c:tickLblPos val="nextTo"/>
        <c:crossAx val="316412168"/>
        <c:crosses val="autoZero"/>
        <c:auto val="1"/>
        <c:lblAlgn val="ctr"/>
        <c:lblOffset val="100"/>
        <c:noMultiLvlLbl val="0"/>
      </c:catAx>
      <c:valAx>
        <c:axId val="316412168"/>
        <c:scaling>
          <c:orientation val="minMax"/>
        </c:scaling>
        <c:delete val="0"/>
        <c:axPos val="l"/>
        <c:majorGridlines/>
        <c:numFmt formatCode="General" sourceLinked="0"/>
        <c:majorTickMark val="out"/>
        <c:minorTickMark val="none"/>
        <c:tickLblPos val="nextTo"/>
        <c:crossAx val="316417656"/>
        <c:crosses val="autoZero"/>
        <c:crossBetween val="between"/>
      </c:valAx>
    </c:plotArea>
    <c:legend>
      <c:legendPos val="r"/>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Depositi di/presso terzi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0</c:v>
                </c:pt>
                <c:pt idx="2">
                  <c:v>40000</c:v>
                </c:pt>
                <c:pt idx="3">
                  <c:v>40000</c:v>
                </c:pt>
                <c:pt idx="4">
                  <c:v>40000</c:v>
                </c:pt>
                <c:pt idx="5">
                  <c:v>40000</c:v>
                </c:pt>
              </c:numCache>
            </c:numRef>
          </c:val>
          <c:smooth val="1"/>
        </c:ser>
        <c:ser>
          <c:idx val="2"/>
          <c:order val="1"/>
          <c:tx>
            <c:strRef>
              <c:f>Foglio1!$B$1</c:f>
              <c:strCache>
                <c:ptCount val="1"/>
                <c:pt idx="0">
                  <c:v>Altre entrate per conto terzi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6996.33</c:v>
                </c:pt>
                <c:pt idx="2">
                  <c:v>653000</c:v>
                </c:pt>
                <c:pt idx="3">
                  <c:v>653000</c:v>
                </c:pt>
                <c:pt idx="4">
                  <c:v>653000</c:v>
                </c:pt>
                <c:pt idx="5">
                  <c:v>653000</c:v>
                </c:pt>
              </c:numCache>
            </c:numRef>
          </c:val>
          <c:smooth val="1"/>
        </c:ser>
        <c:dLbls>
          <c:showLegendKey val="0"/>
          <c:showVal val="0"/>
          <c:showCatName val="0"/>
          <c:showSerName val="0"/>
          <c:showPercent val="0"/>
          <c:showBubbleSize val="0"/>
        </c:dLbls>
        <c:marker val="1"/>
        <c:smooth val="0"/>
        <c:axId val="318408880"/>
        <c:axId val="318409664"/>
      </c:lineChart>
      <c:catAx>
        <c:axId val="318408880"/>
        <c:scaling>
          <c:orientation val="minMax"/>
        </c:scaling>
        <c:delete val="0"/>
        <c:axPos val="b"/>
        <c:numFmt formatCode="General" sourceLinked="0"/>
        <c:majorTickMark val="out"/>
        <c:minorTickMark val="none"/>
        <c:tickLblPos val="nextTo"/>
        <c:crossAx val="318409664"/>
        <c:crosses val="autoZero"/>
        <c:auto val="1"/>
        <c:lblAlgn val="ctr"/>
        <c:lblOffset val="100"/>
        <c:noMultiLvlLbl val="0"/>
      </c:catAx>
      <c:valAx>
        <c:axId val="318409664"/>
        <c:scaling>
          <c:orientation val="minMax"/>
        </c:scaling>
        <c:delete val="0"/>
        <c:axPos val="l"/>
        <c:majorGridlines/>
        <c:numFmt formatCode="General" sourceLinked="0"/>
        <c:majorTickMark val="out"/>
        <c:minorTickMark val="none"/>
        <c:tickLblPos val="nextTo"/>
        <c:crossAx val="318408880"/>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r>
              <a:rPr lang="it-IT"/>
              <a:t>Entrate 2019</a:t>
            </a:r>
          </a:p>
        </c:rich>
      </c:tx>
      <c:overlay val="0"/>
    </c:title>
    <c:autoTitleDeleted val="0"/>
    <c:plotArea>
      <c:layout/>
      <c:barChart>
        <c:barDir val="col"/>
        <c:grouping val="clustered"/>
        <c:varyColors val="0"/>
        <c:ser>
          <c:idx val="1"/>
          <c:order val="0"/>
          <c:tx>
            <c:strRef>
              <c:f>Foglio1!$B$1</c:f>
              <c:strCache>
                <c:ptCount val="1"/>
                <c:pt idx="0">
                  <c:v>Entrate 2019</c:v>
                </c:pt>
              </c:strCache>
            </c:strRef>
          </c:tx>
          <c:spPr>
            <a:solidFill>
              <a:srgbClr val="4F81BD"/>
            </a:solidFill>
          </c:spPr>
          <c:invertIfNegative val="0"/>
          <c:cat>
            <c:strRef>
              <c:f>Foglio1!$A$2:$A$10</c:f>
              <c:strCache>
                <c:ptCount val="9"/>
                <c:pt idx="0">
                  <c:v>AVANZO E FPV</c:v>
                </c:pt>
                <c:pt idx="1">
                  <c:v>ENTRATE CORRENTI DI NATURA TRIBUTARIA, CONTRIBUTIVA E PEREQUATIVA</c:v>
                </c:pt>
                <c:pt idx="2">
                  <c:v>TRASFERIMENTI CORRENTI</c:v>
                </c:pt>
                <c:pt idx="3">
                  <c:v>ENTRATE EXTRATRIBUTARIE</c:v>
                </c:pt>
                <c:pt idx="4">
                  <c:v>ENTRATE IN CONTO CAPITALE</c:v>
                </c:pt>
                <c:pt idx="5">
                  <c:v>ENTRATE DA RIDUZIONE DI ATTIVITA' FINANZIARIE</c:v>
                </c:pt>
                <c:pt idx="6">
                  <c:v>ACCENSIONE PRESTITI</c:v>
                </c:pt>
                <c:pt idx="7">
                  <c:v>ANTICIPAZIONI DA ISTITUTO TESORIERE/CASSIERE</c:v>
                </c:pt>
                <c:pt idx="8">
                  <c:v>ENTRATE PER CONTO TERZI E PARTITE DI GIRO</c:v>
                </c:pt>
              </c:strCache>
            </c:strRef>
          </c:cat>
          <c:val>
            <c:numRef>
              <c:f>Foglio1!$B$2:$B$10</c:f>
              <c:numCache>
                <c:formatCode>General</c:formatCode>
                <c:ptCount val="9"/>
                <c:pt idx="0">
                  <c:v>0</c:v>
                </c:pt>
                <c:pt idx="1">
                  <c:v>0</c:v>
                </c:pt>
                <c:pt idx="2">
                  <c:v>3121522.8</c:v>
                </c:pt>
                <c:pt idx="3">
                  <c:v>1371300</c:v>
                </c:pt>
                <c:pt idx="4">
                  <c:v>0</c:v>
                </c:pt>
                <c:pt idx="5">
                  <c:v>0</c:v>
                </c:pt>
                <c:pt idx="6">
                  <c:v>1022000</c:v>
                </c:pt>
                <c:pt idx="7">
                  <c:v>0</c:v>
                </c:pt>
                <c:pt idx="8">
                  <c:v>1143000</c:v>
                </c:pt>
              </c:numCache>
            </c:numRef>
          </c:val>
        </c:ser>
        <c:dLbls>
          <c:showLegendKey val="0"/>
          <c:showVal val="0"/>
          <c:showCatName val="0"/>
          <c:showSerName val="0"/>
          <c:showPercent val="0"/>
          <c:showBubbleSize val="0"/>
        </c:dLbls>
        <c:gapWidth val="150"/>
        <c:axId val="316411384"/>
        <c:axId val="316412952"/>
      </c:barChart>
      <c:catAx>
        <c:axId val="316411384"/>
        <c:scaling>
          <c:orientation val="minMax"/>
        </c:scaling>
        <c:delete val="0"/>
        <c:axPos val="b"/>
        <c:numFmt formatCode="General" sourceLinked="0"/>
        <c:majorTickMark val="out"/>
        <c:minorTickMark val="none"/>
        <c:tickLblPos val="nextTo"/>
        <c:crossAx val="316412952"/>
        <c:crosses val="autoZero"/>
        <c:auto val="1"/>
        <c:lblAlgn val="ctr"/>
        <c:lblOffset val="100"/>
        <c:noMultiLvlLbl val="0"/>
      </c:catAx>
      <c:valAx>
        <c:axId val="316412952"/>
        <c:scaling>
          <c:orientation val="minMax"/>
        </c:scaling>
        <c:delete val="0"/>
        <c:axPos val="l"/>
        <c:majorGridlines/>
        <c:numFmt formatCode="General" sourceLinked="0"/>
        <c:majorTickMark val="out"/>
        <c:minorTickMark val="none"/>
        <c:tickLblPos val="nextTo"/>
        <c:crossAx val="316411384"/>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r>
              <a:rPr lang="it-IT"/>
              <a:t>Entrate 2020</a:t>
            </a:r>
          </a:p>
        </c:rich>
      </c:tx>
      <c:overlay val="0"/>
    </c:title>
    <c:autoTitleDeleted val="0"/>
    <c:plotArea>
      <c:layout/>
      <c:barChart>
        <c:barDir val="col"/>
        <c:grouping val="clustered"/>
        <c:varyColors val="0"/>
        <c:ser>
          <c:idx val="1"/>
          <c:order val="0"/>
          <c:tx>
            <c:strRef>
              <c:f>Foglio1!$B$1</c:f>
              <c:strCache>
                <c:ptCount val="1"/>
                <c:pt idx="0">
                  <c:v>Entrate 2020</c:v>
                </c:pt>
              </c:strCache>
            </c:strRef>
          </c:tx>
          <c:spPr>
            <a:solidFill>
              <a:srgbClr val="4F81BD"/>
            </a:solidFill>
          </c:spPr>
          <c:invertIfNegative val="0"/>
          <c:cat>
            <c:strRef>
              <c:f>Foglio1!$A$2:$A$10</c:f>
              <c:strCache>
                <c:ptCount val="9"/>
                <c:pt idx="0">
                  <c:v>AVANZO E FPV</c:v>
                </c:pt>
                <c:pt idx="1">
                  <c:v>ENTRATE CORRENTI DI NATURA TRIBUTARIA, CONTRIBUTIVA E PEREQUATIVA</c:v>
                </c:pt>
                <c:pt idx="2">
                  <c:v>TRASFERIMENTI CORRENTI</c:v>
                </c:pt>
                <c:pt idx="3">
                  <c:v>ENTRATE EXTRATRIBUTARIE</c:v>
                </c:pt>
                <c:pt idx="4">
                  <c:v>ENTRATE IN CONTO CAPITALE</c:v>
                </c:pt>
                <c:pt idx="5">
                  <c:v>ENTRATE DA RIDUZIONE DI ATTIVITA' FINANZIARIE</c:v>
                </c:pt>
                <c:pt idx="6">
                  <c:v>ACCENSIONE PRESTITI</c:v>
                </c:pt>
                <c:pt idx="7">
                  <c:v>ANTICIPAZIONI DA ISTITUTO TESORIERE/CASSIERE</c:v>
                </c:pt>
                <c:pt idx="8">
                  <c:v>ENTRATE PER CONTO TERZI E PARTITE DI GIRO</c:v>
                </c:pt>
              </c:strCache>
            </c:strRef>
          </c:cat>
          <c:val>
            <c:numRef>
              <c:f>Foglio1!$B$2:$B$10</c:f>
              <c:numCache>
                <c:formatCode>General</c:formatCode>
                <c:ptCount val="9"/>
                <c:pt idx="0">
                  <c:v>0</c:v>
                </c:pt>
                <c:pt idx="1">
                  <c:v>0</c:v>
                </c:pt>
                <c:pt idx="2">
                  <c:v>3101030.59</c:v>
                </c:pt>
                <c:pt idx="3">
                  <c:v>1371300</c:v>
                </c:pt>
                <c:pt idx="4">
                  <c:v>0</c:v>
                </c:pt>
                <c:pt idx="5">
                  <c:v>0</c:v>
                </c:pt>
                <c:pt idx="6">
                  <c:v>1022000</c:v>
                </c:pt>
                <c:pt idx="7">
                  <c:v>0</c:v>
                </c:pt>
                <c:pt idx="8">
                  <c:v>1143000</c:v>
                </c:pt>
              </c:numCache>
            </c:numRef>
          </c:val>
        </c:ser>
        <c:dLbls>
          <c:showLegendKey val="0"/>
          <c:showVal val="0"/>
          <c:showCatName val="0"/>
          <c:showSerName val="0"/>
          <c:showPercent val="0"/>
          <c:showBubbleSize val="0"/>
        </c:dLbls>
        <c:gapWidth val="150"/>
        <c:axId val="316414520"/>
        <c:axId val="316416872"/>
      </c:barChart>
      <c:catAx>
        <c:axId val="316414520"/>
        <c:scaling>
          <c:orientation val="minMax"/>
        </c:scaling>
        <c:delete val="0"/>
        <c:axPos val="b"/>
        <c:numFmt formatCode="General" sourceLinked="0"/>
        <c:majorTickMark val="out"/>
        <c:minorTickMark val="none"/>
        <c:tickLblPos val="nextTo"/>
        <c:crossAx val="316416872"/>
        <c:crosses val="autoZero"/>
        <c:auto val="1"/>
        <c:lblAlgn val="ctr"/>
        <c:lblOffset val="100"/>
        <c:noMultiLvlLbl val="0"/>
      </c:catAx>
      <c:valAx>
        <c:axId val="316416872"/>
        <c:scaling>
          <c:orientation val="minMax"/>
        </c:scaling>
        <c:delete val="0"/>
        <c:axPos val="l"/>
        <c:majorGridlines/>
        <c:numFmt formatCode="General" sourceLinked="0"/>
        <c:majorTickMark val="out"/>
        <c:minorTickMark val="none"/>
        <c:tickLblPos val="nextTo"/>
        <c:crossAx val="316414520"/>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Disavanzo</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0</c:v>
                </c:pt>
                <c:pt idx="2">
                  <c:v>0</c:v>
                </c:pt>
                <c:pt idx="3">
                  <c:v>0</c:v>
                </c:pt>
                <c:pt idx="4">
                  <c:v>0</c:v>
                </c:pt>
                <c:pt idx="5">
                  <c:v>0</c:v>
                </c:pt>
              </c:numCache>
            </c:numRef>
          </c:val>
          <c:smooth val="1"/>
        </c:ser>
        <c:ser>
          <c:idx val="2"/>
          <c:order val="1"/>
          <c:tx>
            <c:strRef>
              <c:f>Foglio1!$B$1</c:f>
              <c:strCache>
                <c:ptCount val="1"/>
                <c:pt idx="0">
                  <c:v>Spese correnti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3845857.05</c:v>
                </c:pt>
                <c:pt idx="2">
                  <c:v>5515263.6100000003</c:v>
                </c:pt>
                <c:pt idx="3">
                  <c:v>4605662.13</c:v>
                </c:pt>
                <c:pt idx="4">
                  <c:v>4473342.04</c:v>
                </c:pt>
                <c:pt idx="5">
                  <c:v>4472330.59</c:v>
                </c:pt>
              </c:numCache>
            </c:numRef>
          </c:val>
          <c:smooth val="1"/>
        </c:ser>
        <c:ser>
          <c:idx val="3"/>
          <c:order val="2"/>
          <c:tx>
            <c:strRef>
              <c:f>Foglio1!$B$1</c:f>
              <c:strCache>
                <c:ptCount val="1"/>
                <c:pt idx="0">
                  <c:v>Spese in conto capitale</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0</c:v>
                </c:pt>
                <c:pt idx="2">
                  <c:v>75748.7</c:v>
                </c:pt>
                <c:pt idx="3">
                  <c:v>0</c:v>
                </c:pt>
                <c:pt idx="4">
                  <c:v>0</c:v>
                </c:pt>
                <c:pt idx="5">
                  <c:v>0</c:v>
                </c:pt>
              </c:numCache>
            </c:numRef>
          </c:val>
          <c:smooth val="1"/>
        </c:ser>
        <c:ser>
          <c:idx val="4"/>
          <c:order val="3"/>
          <c:tx>
            <c:strRef>
              <c:f>Foglio1!$B$1</c:f>
              <c:strCache>
                <c:ptCount val="1"/>
                <c:pt idx="0">
                  <c:v>Spese per incremento attività finanziarie</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0</c:v>
                </c:pt>
                <c:pt idx="2">
                  <c:v>0</c:v>
                </c:pt>
                <c:pt idx="3">
                  <c:v>0</c:v>
                </c:pt>
                <c:pt idx="4">
                  <c:v>0</c:v>
                </c:pt>
                <c:pt idx="5">
                  <c:v>0</c:v>
                </c:pt>
              </c:numCache>
            </c:numRef>
          </c:val>
          <c:smooth val="1"/>
        </c:ser>
        <c:ser>
          <c:idx val="5"/>
          <c:order val="4"/>
          <c:tx>
            <c:strRef>
              <c:f>Foglio1!$B$1</c:f>
              <c:strCache>
                <c:ptCount val="1"/>
                <c:pt idx="0">
                  <c:v>Rimborso Prestiti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66960.759999999995</c:v>
                </c:pt>
                <c:pt idx="2">
                  <c:v>71035</c:v>
                </c:pt>
                <c:pt idx="3">
                  <c:v>34610</c:v>
                </c:pt>
                <c:pt idx="4">
                  <c:v>19480.759999999998</c:v>
                </c:pt>
                <c:pt idx="5">
                  <c:v>0</c:v>
                </c:pt>
              </c:numCache>
            </c:numRef>
          </c:val>
          <c:smooth val="1"/>
        </c:ser>
        <c:ser>
          <c:idx val="6"/>
          <c:order val="5"/>
          <c:tx>
            <c:strRef>
              <c:f>Foglio1!$B$1</c:f>
              <c:strCache>
                <c:ptCount val="1"/>
                <c:pt idx="0">
                  <c:v>Chiusura Anticipazioni ricevute da istituto tesoriere/cassiere</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0</c:v>
                </c:pt>
                <c:pt idx="2">
                  <c:v>982917.47</c:v>
                </c:pt>
                <c:pt idx="3">
                  <c:v>1022644.83</c:v>
                </c:pt>
                <c:pt idx="4">
                  <c:v>1022000</c:v>
                </c:pt>
                <c:pt idx="5">
                  <c:v>1022000</c:v>
                </c:pt>
              </c:numCache>
            </c:numRef>
          </c:val>
          <c:smooth val="1"/>
        </c:ser>
        <c:ser>
          <c:idx val="7"/>
          <c:order val="6"/>
          <c:tx>
            <c:strRef>
              <c:f>Foglio1!$B$1</c:f>
              <c:strCache>
                <c:ptCount val="1"/>
                <c:pt idx="0">
                  <c:v>Uscite per conto terzi e partite di giro</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350238.32</c:v>
                </c:pt>
                <c:pt idx="2">
                  <c:v>1143000</c:v>
                </c:pt>
                <c:pt idx="3">
                  <c:v>1143000</c:v>
                </c:pt>
                <c:pt idx="4">
                  <c:v>1143000</c:v>
                </c:pt>
                <c:pt idx="5">
                  <c:v>1143000</c:v>
                </c:pt>
              </c:numCache>
            </c:numRef>
          </c:val>
          <c:smooth val="1"/>
        </c:ser>
        <c:dLbls>
          <c:showLegendKey val="0"/>
          <c:showVal val="0"/>
          <c:showCatName val="0"/>
          <c:showSerName val="0"/>
          <c:showPercent val="0"/>
          <c:showBubbleSize val="0"/>
        </c:dLbls>
        <c:marker val="1"/>
        <c:smooth val="0"/>
        <c:axId val="316412560"/>
        <c:axId val="316414912"/>
      </c:lineChart>
      <c:catAx>
        <c:axId val="316412560"/>
        <c:scaling>
          <c:orientation val="minMax"/>
        </c:scaling>
        <c:delete val="0"/>
        <c:axPos val="b"/>
        <c:numFmt formatCode="General" sourceLinked="0"/>
        <c:majorTickMark val="out"/>
        <c:minorTickMark val="none"/>
        <c:tickLblPos val="nextTo"/>
        <c:crossAx val="316414912"/>
        <c:crosses val="autoZero"/>
        <c:auto val="1"/>
        <c:lblAlgn val="ctr"/>
        <c:lblOffset val="100"/>
        <c:noMultiLvlLbl val="0"/>
      </c:catAx>
      <c:valAx>
        <c:axId val="316414912"/>
        <c:scaling>
          <c:orientation val="minMax"/>
        </c:scaling>
        <c:delete val="0"/>
        <c:axPos val="l"/>
        <c:majorGridlines/>
        <c:numFmt formatCode="General" sourceLinked="0"/>
        <c:majorTickMark val="out"/>
        <c:minorTickMark val="none"/>
        <c:tickLblPos val="nextTo"/>
        <c:crossAx val="316412560"/>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Tipologia 101: Imposte tasse e proventi assimilati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0</c:v>
                </c:pt>
                <c:pt idx="2">
                  <c:v>0</c:v>
                </c:pt>
                <c:pt idx="3">
                  <c:v>0</c:v>
                </c:pt>
                <c:pt idx="4">
                  <c:v>0</c:v>
                </c:pt>
                <c:pt idx="5">
                  <c:v>0</c:v>
                </c:pt>
              </c:numCache>
            </c:numRef>
          </c:val>
          <c:smooth val="1"/>
        </c:ser>
        <c:dLbls>
          <c:showLegendKey val="0"/>
          <c:showVal val="0"/>
          <c:showCatName val="0"/>
          <c:showSerName val="0"/>
          <c:showPercent val="0"/>
          <c:showBubbleSize val="0"/>
        </c:dLbls>
        <c:marker val="1"/>
        <c:smooth val="0"/>
        <c:axId val="307414048"/>
        <c:axId val="307413656"/>
      </c:lineChart>
      <c:catAx>
        <c:axId val="307414048"/>
        <c:scaling>
          <c:orientation val="minMax"/>
        </c:scaling>
        <c:delete val="0"/>
        <c:axPos val="b"/>
        <c:numFmt formatCode="General" sourceLinked="0"/>
        <c:majorTickMark val="out"/>
        <c:minorTickMark val="none"/>
        <c:tickLblPos val="nextTo"/>
        <c:crossAx val="307413656"/>
        <c:crosses val="autoZero"/>
        <c:auto val="1"/>
        <c:lblAlgn val="ctr"/>
        <c:lblOffset val="100"/>
        <c:noMultiLvlLbl val="0"/>
      </c:catAx>
      <c:valAx>
        <c:axId val="307413656"/>
        <c:scaling>
          <c:orientation val="minMax"/>
        </c:scaling>
        <c:delete val="0"/>
        <c:axPos val="l"/>
        <c:majorGridlines/>
        <c:numFmt formatCode="General" sourceLinked="0"/>
        <c:majorTickMark val="out"/>
        <c:minorTickMark val="none"/>
        <c:tickLblPos val="nextTo"/>
        <c:crossAx val="307414048"/>
        <c:crosses val="autoZero"/>
        <c:crossBetween val="between"/>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Tipologia 101: Trasferimenti correnti da Amministrazioni pubbliche</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3146878.32</c:v>
                </c:pt>
                <c:pt idx="2">
                  <c:v>3150271.23</c:v>
                </c:pt>
                <c:pt idx="3">
                  <c:v>3136535.19</c:v>
                </c:pt>
                <c:pt idx="4">
                  <c:v>3121522.8</c:v>
                </c:pt>
                <c:pt idx="5">
                  <c:v>3101030.59</c:v>
                </c:pt>
              </c:numCache>
            </c:numRef>
          </c:val>
          <c:smooth val="1"/>
        </c:ser>
        <c:dLbls>
          <c:showLegendKey val="0"/>
          <c:showVal val="0"/>
          <c:showCatName val="0"/>
          <c:showSerName val="0"/>
          <c:showPercent val="0"/>
          <c:showBubbleSize val="0"/>
        </c:dLbls>
        <c:marker val="1"/>
        <c:smooth val="0"/>
        <c:axId val="318167232"/>
        <c:axId val="318171936"/>
      </c:lineChart>
      <c:catAx>
        <c:axId val="318167232"/>
        <c:scaling>
          <c:orientation val="minMax"/>
        </c:scaling>
        <c:delete val="0"/>
        <c:axPos val="b"/>
        <c:numFmt formatCode="General" sourceLinked="0"/>
        <c:majorTickMark val="out"/>
        <c:minorTickMark val="none"/>
        <c:tickLblPos val="nextTo"/>
        <c:crossAx val="318171936"/>
        <c:crosses val="autoZero"/>
        <c:auto val="1"/>
        <c:lblAlgn val="ctr"/>
        <c:lblOffset val="100"/>
        <c:noMultiLvlLbl val="0"/>
      </c:catAx>
      <c:valAx>
        <c:axId val="318171936"/>
        <c:scaling>
          <c:orientation val="minMax"/>
        </c:scaling>
        <c:delete val="0"/>
        <c:axPos val="l"/>
        <c:majorGridlines/>
        <c:numFmt formatCode="General" sourceLinked="0"/>
        <c:majorTickMark val="out"/>
        <c:minorTickMark val="none"/>
        <c:tickLblPos val="nextTo"/>
        <c:crossAx val="318167232"/>
        <c:crosses val="autoZero"/>
        <c:crossBetween val="between"/>
      </c:valAx>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Tipologia 100: Vendita di beni e servizi e proventi derivanti dalla gestione dei beni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931401.58</c:v>
                </c:pt>
                <c:pt idx="2">
                  <c:v>2272407.1800000002</c:v>
                </c:pt>
                <c:pt idx="3">
                  <c:v>1472873.33</c:v>
                </c:pt>
                <c:pt idx="4">
                  <c:v>1356300</c:v>
                </c:pt>
                <c:pt idx="5">
                  <c:v>1356300</c:v>
                </c:pt>
              </c:numCache>
            </c:numRef>
          </c:val>
          <c:smooth val="1"/>
        </c:ser>
        <c:ser>
          <c:idx val="2"/>
          <c:order val="1"/>
          <c:tx>
            <c:strRef>
              <c:f>Foglio1!$B$1</c:f>
              <c:strCache>
                <c:ptCount val="1"/>
                <c:pt idx="0">
                  <c:v>Tipologia 300: Interessi attivi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7.9</c:v>
                </c:pt>
                <c:pt idx="2">
                  <c:v>0</c:v>
                </c:pt>
                <c:pt idx="3">
                  <c:v>0</c:v>
                </c:pt>
                <c:pt idx="4">
                  <c:v>0</c:v>
                </c:pt>
                <c:pt idx="5">
                  <c:v>0</c:v>
                </c:pt>
              </c:numCache>
            </c:numRef>
          </c:val>
          <c:smooth val="1"/>
        </c:ser>
        <c:ser>
          <c:idx val="3"/>
          <c:order val="2"/>
          <c:tx>
            <c:strRef>
              <c:f>Foglio1!$B$1</c:f>
              <c:strCache>
                <c:ptCount val="1"/>
                <c:pt idx="0">
                  <c:v>Tipologia 500: Rimborsi e altre entrate correnti</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12291.51</c:v>
                </c:pt>
                <c:pt idx="2">
                  <c:v>0</c:v>
                </c:pt>
                <c:pt idx="3">
                  <c:v>0</c:v>
                </c:pt>
                <c:pt idx="4">
                  <c:v>0</c:v>
                </c:pt>
                <c:pt idx="5">
                  <c:v>0</c:v>
                </c:pt>
              </c:numCache>
            </c:numRef>
          </c:val>
          <c:smooth val="1"/>
        </c:ser>
        <c:dLbls>
          <c:showLegendKey val="0"/>
          <c:showVal val="0"/>
          <c:showCatName val="0"/>
          <c:showSerName val="0"/>
          <c:showPercent val="0"/>
          <c:showBubbleSize val="0"/>
        </c:dLbls>
        <c:marker val="1"/>
        <c:smooth val="0"/>
        <c:axId val="318171544"/>
        <c:axId val="318168800"/>
      </c:lineChart>
      <c:catAx>
        <c:axId val="318171544"/>
        <c:scaling>
          <c:orientation val="minMax"/>
        </c:scaling>
        <c:delete val="0"/>
        <c:axPos val="b"/>
        <c:numFmt formatCode="General" sourceLinked="0"/>
        <c:majorTickMark val="out"/>
        <c:minorTickMark val="none"/>
        <c:tickLblPos val="nextTo"/>
        <c:crossAx val="318168800"/>
        <c:crosses val="autoZero"/>
        <c:auto val="1"/>
        <c:lblAlgn val="ctr"/>
        <c:lblOffset val="100"/>
        <c:noMultiLvlLbl val="0"/>
      </c:catAx>
      <c:valAx>
        <c:axId val="318168800"/>
        <c:scaling>
          <c:orientation val="minMax"/>
        </c:scaling>
        <c:delete val="0"/>
        <c:axPos val="l"/>
        <c:majorGridlines/>
        <c:numFmt formatCode="General" sourceLinked="0"/>
        <c:majorTickMark val="out"/>
        <c:minorTickMark val="none"/>
        <c:tickLblPos val="nextTo"/>
        <c:crossAx val="318171544"/>
        <c:crosses val="autoZero"/>
        <c:crossBetween val="between"/>
      </c:valAx>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Tipologia 300: Altri trasferimenti in conto capitale</c:v>
                </c:pt>
              </c:strCache>
            </c:strRef>
          </c:tx>
          <c:cat>
            <c:strRef>
              <c:f>Foglio1!$A$2:$A$7</c:f>
              <c:strCache>
                <c:ptCount val="6"/>
                <c:pt idx="0">
                  <c:v>2015</c:v>
                </c:pt>
                <c:pt idx="1">
                  <c:v>2016</c:v>
                </c:pt>
                <c:pt idx="2">
                  <c:v>2017</c:v>
                </c:pt>
                <c:pt idx="3">
                  <c:v>2018</c:v>
                </c:pt>
                <c:pt idx="4">
                  <c:v>2019</c:v>
                </c:pt>
                <c:pt idx="5">
                  <c:v>2020</c:v>
                </c:pt>
              </c:strCache>
            </c:strRef>
          </c:cat>
          <c:val>
            <c:numRef>
              <c:f>Foglio1!$B$2:$B$7</c:f>
              <c:numCache>
                <c:formatCode>General</c:formatCode>
                <c:ptCount val="6"/>
                <c:pt idx="0">
                  <c:v>0</c:v>
                </c:pt>
                <c:pt idx="1">
                  <c:v>5845.36</c:v>
                </c:pt>
                <c:pt idx="2">
                  <c:v>69903.34</c:v>
                </c:pt>
                <c:pt idx="3">
                  <c:v>0</c:v>
                </c:pt>
                <c:pt idx="4">
                  <c:v>0</c:v>
                </c:pt>
                <c:pt idx="5">
                  <c:v>0</c:v>
                </c:pt>
              </c:numCache>
            </c:numRef>
          </c:val>
          <c:smooth val="1"/>
        </c:ser>
        <c:dLbls>
          <c:showLegendKey val="0"/>
          <c:showVal val="0"/>
          <c:showCatName val="0"/>
          <c:showSerName val="0"/>
          <c:showPercent val="0"/>
          <c:showBubbleSize val="0"/>
        </c:dLbls>
        <c:marker val="1"/>
        <c:smooth val="0"/>
        <c:axId val="318169584"/>
        <c:axId val="318172328"/>
      </c:lineChart>
      <c:catAx>
        <c:axId val="318169584"/>
        <c:scaling>
          <c:orientation val="minMax"/>
        </c:scaling>
        <c:delete val="0"/>
        <c:axPos val="b"/>
        <c:numFmt formatCode="General" sourceLinked="0"/>
        <c:majorTickMark val="out"/>
        <c:minorTickMark val="none"/>
        <c:tickLblPos val="nextTo"/>
        <c:crossAx val="318172328"/>
        <c:crosses val="autoZero"/>
        <c:auto val="1"/>
        <c:lblAlgn val="ctr"/>
        <c:lblOffset val="100"/>
        <c:noMultiLvlLbl val="0"/>
      </c:catAx>
      <c:valAx>
        <c:axId val="318172328"/>
        <c:scaling>
          <c:orientation val="minMax"/>
        </c:scaling>
        <c:delete val="0"/>
        <c:axPos val="l"/>
        <c:majorGridlines/>
        <c:numFmt formatCode="General" sourceLinked="0"/>
        <c:majorTickMark val="out"/>
        <c:minorTickMark val="none"/>
        <c:tickLblPos val="nextTo"/>
        <c:crossAx val="318169584"/>
        <c:crosses val="autoZero"/>
        <c:crossBetween val="between"/>
      </c:valAx>
    </c:plotArea>
    <c:legend>
      <c:legendPos val="r"/>
      <c:overlay val="0"/>
    </c:legend>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777981C8C89408797909B5058138AE7"/>
        <w:category>
          <w:name w:val="Generale"/>
          <w:gallery w:val="placeholder"/>
        </w:category>
        <w:types>
          <w:type w:val="bbPlcHdr"/>
        </w:types>
        <w:behaviors>
          <w:behavior w:val="content"/>
        </w:behaviors>
        <w:guid w:val="{B1414AEE-0362-4E4B-842D-A607984716F5}"/>
      </w:docPartPr>
      <w:docPartBody>
        <w:p w:rsidR="00634FEB" w:rsidRDefault="002C7E13" w:rsidP="002C7E13">
          <w:pPr>
            <w:pStyle w:val="6777981C8C89408797909B5058138AE71"/>
          </w:pPr>
          <w:r>
            <w:rPr>
              <w:rFonts w:asciiTheme="majorHAnsi" w:hAnsiTheme="majorHAnsi"/>
            </w:rPr>
            <w:t>[Digitare il testo]</w:t>
          </w:r>
        </w:p>
      </w:docPartBody>
    </w:docPart>
    <w:docPart>
      <w:docPartPr>
        <w:name w:val="0E0DFC568D214657A4AECD8C69D65214"/>
        <w:category>
          <w:name w:val="Generale"/>
          <w:gallery w:val="placeholder"/>
        </w:category>
        <w:types>
          <w:type w:val="bbPlcHdr"/>
        </w:types>
        <w:behaviors>
          <w:behavior w:val="content"/>
        </w:behaviors>
        <w:guid w:val="{D27133A6-7A54-4986-896B-B45B4C4C504E}"/>
      </w:docPartPr>
      <w:docPartBody>
        <w:p w:rsidR="00DD1A02" w:rsidRDefault="002C7E13" w:rsidP="00634FEB">
          <w:pPr>
            <w:pStyle w:val="0E0DFC568D214657A4AECD8C69D65214"/>
          </w:pPr>
          <w:r>
            <w:t>[Digitare il titolo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ngsanaUPC">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283"/>
  <w:characterSpacingControl w:val="doNotCompress"/>
  <w:compat>
    <w:useFELayout/>
    <w:compatSetting w:name="compatibilityMode" w:uri="http://schemas.microsoft.com/office/word" w:val="12"/>
  </w:compat>
  <w:rsids>
    <w:rsidRoot w:val="00C159BE"/>
    <w:rsid w:val="00012F74"/>
    <w:rsid w:val="000418C3"/>
    <w:rsid w:val="0004441F"/>
    <w:rsid w:val="00045374"/>
    <w:rsid w:val="000507AC"/>
    <w:rsid w:val="000846BF"/>
    <w:rsid w:val="000A755E"/>
    <w:rsid w:val="000F6CC3"/>
    <w:rsid w:val="00107084"/>
    <w:rsid w:val="00122DAE"/>
    <w:rsid w:val="001377F5"/>
    <w:rsid w:val="0014565F"/>
    <w:rsid w:val="001458C8"/>
    <w:rsid w:val="001765DB"/>
    <w:rsid w:val="001A322F"/>
    <w:rsid w:val="001C731B"/>
    <w:rsid w:val="00212686"/>
    <w:rsid w:val="002348D8"/>
    <w:rsid w:val="00271D0A"/>
    <w:rsid w:val="002A7DE6"/>
    <w:rsid w:val="002C7E13"/>
    <w:rsid w:val="0035732A"/>
    <w:rsid w:val="00374487"/>
    <w:rsid w:val="00384617"/>
    <w:rsid w:val="003A7DB9"/>
    <w:rsid w:val="003C505C"/>
    <w:rsid w:val="00403778"/>
    <w:rsid w:val="004146D0"/>
    <w:rsid w:val="0043106B"/>
    <w:rsid w:val="004412D4"/>
    <w:rsid w:val="00464935"/>
    <w:rsid w:val="004C5CF5"/>
    <w:rsid w:val="004E2C7B"/>
    <w:rsid w:val="004E4166"/>
    <w:rsid w:val="0050033D"/>
    <w:rsid w:val="00507C84"/>
    <w:rsid w:val="00535D37"/>
    <w:rsid w:val="005433A2"/>
    <w:rsid w:val="00543641"/>
    <w:rsid w:val="00562465"/>
    <w:rsid w:val="005846DE"/>
    <w:rsid w:val="0059307A"/>
    <w:rsid w:val="005A6F9E"/>
    <w:rsid w:val="005E4D31"/>
    <w:rsid w:val="00634FEB"/>
    <w:rsid w:val="006462C7"/>
    <w:rsid w:val="00665571"/>
    <w:rsid w:val="00694FE9"/>
    <w:rsid w:val="006A7CE1"/>
    <w:rsid w:val="006B7A01"/>
    <w:rsid w:val="006E53CB"/>
    <w:rsid w:val="006E5F43"/>
    <w:rsid w:val="006F4C53"/>
    <w:rsid w:val="006F6342"/>
    <w:rsid w:val="00702E62"/>
    <w:rsid w:val="007407D3"/>
    <w:rsid w:val="00786E70"/>
    <w:rsid w:val="007909AF"/>
    <w:rsid w:val="007950F1"/>
    <w:rsid w:val="007A0041"/>
    <w:rsid w:val="007B0BA3"/>
    <w:rsid w:val="007D550D"/>
    <w:rsid w:val="00803CAF"/>
    <w:rsid w:val="00847A8A"/>
    <w:rsid w:val="008720FB"/>
    <w:rsid w:val="00875348"/>
    <w:rsid w:val="00881186"/>
    <w:rsid w:val="00882ADB"/>
    <w:rsid w:val="00892EE8"/>
    <w:rsid w:val="008C2674"/>
    <w:rsid w:val="008D0AC9"/>
    <w:rsid w:val="008D2212"/>
    <w:rsid w:val="008D4B04"/>
    <w:rsid w:val="009074DC"/>
    <w:rsid w:val="00912B3B"/>
    <w:rsid w:val="00921D57"/>
    <w:rsid w:val="00932707"/>
    <w:rsid w:val="009513CD"/>
    <w:rsid w:val="0095199A"/>
    <w:rsid w:val="00954826"/>
    <w:rsid w:val="00956AF8"/>
    <w:rsid w:val="00961E04"/>
    <w:rsid w:val="00994408"/>
    <w:rsid w:val="009D033D"/>
    <w:rsid w:val="009D51BE"/>
    <w:rsid w:val="009D5450"/>
    <w:rsid w:val="009E0AA4"/>
    <w:rsid w:val="00A4154A"/>
    <w:rsid w:val="00A649B7"/>
    <w:rsid w:val="00A80A71"/>
    <w:rsid w:val="00A92F06"/>
    <w:rsid w:val="00A96F74"/>
    <w:rsid w:val="00AA537E"/>
    <w:rsid w:val="00AB0ED1"/>
    <w:rsid w:val="00AC2BAA"/>
    <w:rsid w:val="00AC6D99"/>
    <w:rsid w:val="00AE30E1"/>
    <w:rsid w:val="00B52A21"/>
    <w:rsid w:val="00BD6A9A"/>
    <w:rsid w:val="00C04F29"/>
    <w:rsid w:val="00C159BE"/>
    <w:rsid w:val="00C166DF"/>
    <w:rsid w:val="00C75E20"/>
    <w:rsid w:val="00CB1540"/>
    <w:rsid w:val="00CB48A0"/>
    <w:rsid w:val="00CB7652"/>
    <w:rsid w:val="00CE37E6"/>
    <w:rsid w:val="00CF014A"/>
    <w:rsid w:val="00CF401A"/>
    <w:rsid w:val="00D03310"/>
    <w:rsid w:val="00D146E3"/>
    <w:rsid w:val="00D160B1"/>
    <w:rsid w:val="00D52033"/>
    <w:rsid w:val="00D72155"/>
    <w:rsid w:val="00D72FF8"/>
    <w:rsid w:val="00DA3D39"/>
    <w:rsid w:val="00DD1A02"/>
    <w:rsid w:val="00DE0515"/>
    <w:rsid w:val="00DE553D"/>
    <w:rsid w:val="00DE721B"/>
    <w:rsid w:val="00E36C48"/>
    <w:rsid w:val="00E3771B"/>
    <w:rsid w:val="00E6541B"/>
    <w:rsid w:val="00E65A05"/>
    <w:rsid w:val="00E809ED"/>
    <w:rsid w:val="00EB0BBD"/>
    <w:rsid w:val="00ED6183"/>
    <w:rsid w:val="00EE6868"/>
    <w:rsid w:val="00F33F7C"/>
    <w:rsid w:val="00F42016"/>
    <w:rsid w:val="00F51368"/>
    <w:rsid w:val="00F51490"/>
    <w:rsid w:val="00F629AC"/>
    <w:rsid w:val="00F65477"/>
    <w:rsid w:val="00F72F74"/>
    <w:rsid w:val="00FA29BF"/>
    <w:rsid w:val="00FA782E"/>
    <w:rsid w:val="00FB3C00"/>
    <w:rsid w:val="00FB49C7"/>
    <w:rsid w:val="00FB7A45"/>
    <w:rsid w:val="00FC381E"/>
    <w:rsid w:val="00FF16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B0BA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6777981C8C89408797909B5058138AE7">
    <w:name w:val="6777981C8C89408797909B5058138AE7"/>
    <w:rsid w:val="00C159BE"/>
  </w:style>
  <w:style w:type="paragraph" w:customStyle="1" w:styleId="67E861FE6BAB422CA064C4200388482E">
    <w:name w:val="67E861FE6BAB422CA064C4200388482E"/>
    <w:rsid w:val="00C159BE"/>
  </w:style>
  <w:style w:type="paragraph" w:customStyle="1" w:styleId="427B11BE020943ED8FE79FF9AD27948C">
    <w:name w:val="427B11BE020943ED8FE79FF9AD27948C"/>
    <w:rsid w:val="00C159BE"/>
  </w:style>
  <w:style w:type="paragraph" w:customStyle="1" w:styleId="0E0DFC568D214657A4AECD8C69D65214">
    <w:name w:val="0E0DFC568D214657A4AECD8C69D65214"/>
    <w:rsid w:val="00634FEB"/>
  </w:style>
  <w:style w:type="paragraph" w:customStyle="1" w:styleId="1B5F5E8E30454A1C824759127529BE1E">
    <w:name w:val="1B5F5E8E30454A1C824759127529BE1E"/>
    <w:rsid w:val="00634FEB"/>
  </w:style>
  <w:style w:type="paragraph" w:customStyle="1" w:styleId="CEA35437564F4E2CB8F25AD31D01279B">
    <w:name w:val="CEA35437564F4E2CB8F25AD31D01279B"/>
    <w:rsid w:val="00634FEB"/>
  </w:style>
  <w:style w:type="paragraph" w:customStyle="1" w:styleId="5FEA2536DA7946459010B25BA4DE5AA7">
    <w:name w:val="5FEA2536DA7946459010B25BA4DE5AA7"/>
    <w:rsid w:val="00634FEB"/>
  </w:style>
  <w:style w:type="paragraph" w:customStyle="1" w:styleId="1D4FEF6E420B4401A3DE8EC68F6DF36C">
    <w:name w:val="1D4FEF6E420B4401A3DE8EC68F6DF36C"/>
    <w:rsid w:val="00634FEB"/>
  </w:style>
  <w:style w:type="paragraph" w:customStyle="1" w:styleId="09B3A1E84F88498CB479F7AFC6F0EFDC">
    <w:name w:val="09B3A1E84F88498CB479F7AFC6F0EFDC"/>
    <w:rsid w:val="00634FEB"/>
  </w:style>
  <w:style w:type="character" w:styleId="Testosegnaposto">
    <w:name w:val="Placeholder Text"/>
    <w:basedOn w:val="Carpredefinitoparagrafo"/>
    <w:uiPriority w:val="99"/>
    <w:semiHidden/>
    <w:rsid w:val="002C7E13"/>
    <w:rPr>
      <w:color w:val="808080"/>
    </w:rPr>
  </w:style>
  <w:style w:type="paragraph" w:customStyle="1" w:styleId="6777981C8C89408797909B5058138AE71">
    <w:name w:val="6777981C8C89408797909B5058138AE71"/>
    <w:rsid w:val="002C7E13"/>
    <w:pPr>
      <w:tabs>
        <w:tab w:val="center" w:pos="4819"/>
        <w:tab w:val="right" w:pos="9638"/>
      </w:tabs>
      <w:spacing w:after="0" w:line="240" w:lineRule="auto"/>
      <w:jc w:val="both"/>
    </w:pPr>
    <w:rPr>
      <w:rFonts w:eastAsiaTheme="minorHAnsi"/>
      <w:lang w:eastAsia="en-US"/>
    </w:rPr>
  </w:style>
  <w:style w:type="paragraph" w:customStyle="1" w:styleId="0A4AAE9C30BA40A787196CE12922E182">
    <w:name w:val="0A4AAE9C30BA40A787196CE12922E182"/>
    <w:rsid w:val="000418C3"/>
    <w:pPr>
      <w:spacing w:after="160" w:line="259" w:lineRule="auto"/>
    </w:pPr>
  </w:style>
  <w:style w:type="paragraph" w:customStyle="1" w:styleId="818ACA5E9E4343EAAC38EA31A9E99F27">
    <w:name w:val="818ACA5E9E4343EAAC38EA31A9E99F27"/>
    <w:rsid w:val="000418C3"/>
    <w:pPr>
      <w:spacing w:after="160" w:line="259" w:lineRule="auto"/>
    </w:pPr>
  </w:style>
  <w:style w:type="paragraph" w:customStyle="1" w:styleId="971BAA266D7849BCB9F66D8629FDD4A1">
    <w:name w:val="971BAA266D7849BCB9F66D8629FDD4A1"/>
    <w:rsid w:val="000418C3"/>
    <w:pPr>
      <w:spacing w:after="160" w:line="259" w:lineRule="auto"/>
    </w:pPr>
  </w:style>
  <w:style w:type="paragraph" w:customStyle="1" w:styleId="1685191378CA44828D8FA452D05D1D8C">
    <w:name w:val="1685191378CA44828D8FA452D05D1D8C"/>
    <w:rsid w:val="000418C3"/>
    <w:pPr>
      <w:spacing w:after="160" w:line="259" w:lineRule="auto"/>
    </w:pPr>
  </w:style>
  <w:style w:type="paragraph" w:customStyle="1" w:styleId="6D43A00814B043F49139FAEF1210A458">
    <w:name w:val="6D43A00814B043F49139FAEF1210A458"/>
    <w:rsid w:val="000418C3"/>
    <w:pPr>
      <w:spacing w:after="160" w:line="259" w:lineRule="auto"/>
    </w:pPr>
  </w:style>
  <w:style w:type="paragraph" w:customStyle="1" w:styleId="E838B7E99A0D450BB5B46B70B2E9A502">
    <w:name w:val="E838B7E99A0D450BB5B46B70B2E9A502"/>
    <w:rsid w:val="000418C3"/>
    <w:pPr>
      <w:spacing w:after="160" w:line="259" w:lineRule="auto"/>
    </w:pPr>
  </w:style>
  <w:style w:type="paragraph" w:customStyle="1" w:styleId="E71C3D4F2AF145D2BE2FE0E4B109ACF6">
    <w:name w:val="E71C3D4F2AF145D2BE2FE0E4B109ACF6"/>
    <w:rsid w:val="000418C3"/>
    <w:pPr>
      <w:spacing w:after="160" w:line="259" w:lineRule="auto"/>
    </w:pPr>
  </w:style>
  <w:style w:type="paragraph" w:customStyle="1" w:styleId="D334FB6627BC42F1B0C927A0D8698FEE">
    <w:name w:val="D334FB6627BC42F1B0C927A0D8698FEE"/>
    <w:rsid w:val="000418C3"/>
    <w:pPr>
      <w:spacing w:after="160" w:line="259" w:lineRule="auto"/>
    </w:pPr>
  </w:style>
  <w:style w:type="paragraph" w:customStyle="1" w:styleId="C2EA3C211482421B8464C2867F3995DB">
    <w:name w:val="C2EA3C211482421B8464C2867F3995DB"/>
    <w:rsid w:val="000418C3"/>
    <w:pPr>
      <w:spacing w:after="160" w:line="259" w:lineRule="auto"/>
    </w:pPr>
  </w:style>
  <w:style w:type="paragraph" w:customStyle="1" w:styleId="9ED927499E1B4DF5B2CB718A1744338A">
    <w:name w:val="9ED927499E1B4DF5B2CB718A1744338A"/>
    <w:rsid w:val="000418C3"/>
    <w:pPr>
      <w:spacing w:after="160" w:line="259" w:lineRule="auto"/>
    </w:pPr>
  </w:style>
  <w:style w:type="paragraph" w:customStyle="1" w:styleId="FE0A905CB6D6459F95DEE54D5898706B">
    <w:name w:val="FE0A905CB6D6459F95DEE54D5898706B"/>
    <w:rsid w:val="000418C3"/>
    <w:pPr>
      <w:spacing w:after="160" w:line="259" w:lineRule="auto"/>
    </w:pPr>
  </w:style>
  <w:style w:type="paragraph" w:customStyle="1" w:styleId="86E7D49D3DE94FD884088629194DDBD2">
    <w:name w:val="86E7D49D3DE94FD884088629194DDBD2"/>
    <w:rsid w:val="000418C3"/>
    <w:pPr>
      <w:spacing w:after="160" w:line="259" w:lineRule="auto"/>
    </w:pPr>
  </w:style>
  <w:style w:type="paragraph" w:customStyle="1" w:styleId="40E6318294CC4CF7A28EA0FA122C696D">
    <w:name w:val="40E6318294CC4CF7A28EA0FA122C696D"/>
    <w:rsid w:val="000418C3"/>
    <w:pPr>
      <w:spacing w:after="160" w:line="259" w:lineRule="auto"/>
    </w:pPr>
  </w:style>
  <w:style w:type="paragraph" w:customStyle="1" w:styleId="D900D9AC016A4468888157FDA1611B8A">
    <w:name w:val="D900D9AC016A4468888157FDA1611B8A"/>
    <w:rsid w:val="000418C3"/>
    <w:pPr>
      <w:spacing w:after="160" w:line="259" w:lineRule="auto"/>
    </w:pPr>
  </w:style>
  <w:style w:type="paragraph" w:customStyle="1" w:styleId="AD52DBB79FE04EEF9BBC9E19387C4251">
    <w:name w:val="AD52DBB79FE04EEF9BBC9E19387C4251"/>
    <w:rsid w:val="000418C3"/>
    <w:pPr>
      <w:spacing w:after="160" w:line="259" w:lineRule="auto"/>
    </w:pPr>
  </w:style>
  <w:style w:type="paragraph" w:customStyle="1" w:styleId="EA07A224599F48D4B7AD235EE3351C44">
    <w:name w:val="EA07A224599F48D4B7AD235EE3351C44"/>
    <w:rsid w:val="000418C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72E8B-F611-447A-8C97-4D01F5051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134</Pages>
  <Words>18089</Words>
  <Characters>103112</Characters>
  <Application>Microsoft Office Word</Application>
  <DocSecurity>0</DocSecurity>
  <Lines>859</Lines>
  <Paragraphs>241</Paragraphs>
  <ScaleCrop>false</ScaleCrop>
  <HeadingPairs>
    <vt:vector size="2" baseType="variant">
      <vt:variant>
        <vt:lpstr>Titolo</vt:lpstr>
      </vt:variant>
      <vt:variant>
        <vt:i4>1</vt:i4>
      </vt:variant>
    </vt:vector>
  </HeadingPairs>
  <TitlesOfParts>
    <vt:vector size="1" baseType="lpstr">
      <vt:lpstr/>
    </vt:vector>
  </TitlesOfParts>
  <Company>DEDAGROUP s.p.a</Company>
  <LinksUpToDate>false</LinksUpToDate>
  <CharactersWithSpaces>120960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BG0227</dc:creator>
  <cp:lastModifiedBy>Elisabetta</cp:lastModifiedBy>
  <cp:revision>102</cp:revision>
  <cp:lastPrinted>2014-07-28T12:24:00Z</cp:lastPrinted>
  <dcterms:created xsi:type="dcterms:W3CDTF">2015-10-08T08:11:00Z</dcterms:created>
  <dcterms:modified xsi:type="dcterms:W3CDTF">2018-03-13T16:50:00Z</dcterms:modified>
</cp:coreProperties>
</file>